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0D7A1BE">
      <w:pPr>
        <w:pStyle w:val="style0"/>
        <w:spacing w:before="100" w:beforeAutospacing="true" w:after="100" w:afterAutospacing="true"/>
        <w:jc w:val="center"/>
        <w:rPr>
          <w:rFonts w:ascii="方正小标宋简体" w:eastAsia="方正小标宋简体" w:hAnsi="华文中宋" w:hint="eastAsia"/>
          <w:spacing w:val="16"/>
          <w:sz w:val="44"/>
          <w:szCs w:val="44"/>
        </w:rPr>
      </w:pPr>
    </w:p>
    <w:p w14:paraId="05D944AE">
      <w:pPr>
        <w:pStyle w:val="style0"/>
        <w:spacing w:before="100" w:beforeAutospacing="true" w:after="100" w:afterAutospacing="true"/>
        <w:jc w:val="center"/>
        <w:rPr>
          <w:rFonts w:ascii="方正小标宋简体" w:eastAsia="方正小标宋简体" w:hAnsi="华文中宋" w:hint="eastAsia"/>
          <w:spacing w:val="16"/>
          <w:sz w:val="44"/>
          <w:szCs w:val="44"/>
        </w:rPr>
      </w:pPr>
      <w:r>
        <w:rPr>
          <w:rFonts w:ascii="方正小标宋简体" w:eastAsia="方正小标宋简体" w:hAnsi="华文中宋" w:hint="eastAsia"/>
          <w:spacing w:val="16"/>
          <w:sz w:val="44"/>
          <w:szCs w:val="44"/>
        </w:rPr>
        <w:t>废旧物资竞价出售文件</w:t>
      </w:r>
    </w:p>
    <w:p w14:paraId="12A8AF4A">
      <w:pPr>
        <w:pStyle w:val="style0"/>
        <w:spacing w:lineRule="exact" w:line="560"/>
        <w:ind w:firstLine="624" w:firstLineChars="195"/>
        <w:jc w:val="left"/>
        <w:rPr>
          <w:rFonts w:ascii="仿宋_GB2312" w:eastAsia="仿宋_GB2312"/>
          <w:sz w:val="32"/>
          <w:szCs w:val="32"/>
        </w:rPr>
      </w:pPr>
      <w:r>
        <w:rPr>
          <w:rFonts w:ascii="仿宋_GB2312" w:eastAsia="仿宋_GB2312" w:hAnsi="宋体" w:hint="eastAsia"/>
          <w:sz w:val="32"/>
          <w:szCs w:val="32"/>
        </w:rPr>
        <w:t>中信钛业股份有限公司拟对废旧物资进行公开竞价出售，具体内容如下。</w:t>
      </w:r>
    </w:p>
    <w:p w14:paraId="3065B580">
      <w:pPr>
        <w:pStyle w:val="style0"/>
        <w:spacing w:before="120" w:after="120" w:lineRule="exact" w:line="560"/>
        <w:ind w:firstLine="626" w:firstLineChars="195"/>
        <w:jc w:val="left"/>
        <w:rPr>
          <w:rFonts w:ascii="仿宋_GB2312" w:eastAsia="仿宋_GB2312"/>
          <w:b/>
          <w:sz w:val="32"/>
          <w:szCs w:val="32"/>
        </w:rPr>
      </w:pPr>
      <w:r>
        <w:rPr>
          <w:rFonts w:ascii="仿宋_GB2312" w:eastAsia="仿宋_GB2312" w:hAnsi="宋体" w:hint="eastAsia"/>
          <w:b/>
          <w:sz w:val="32"/>
          <w:szCs w:val="32"/>
        </w:rPr>
        <w:t>一、出售产品简介</w:t>
      </w:r>
      <w:bookmarkStart w:id="0" w:name="_GoBack"/>
      <w:bookmarkEnd w:id="0"/>
      <w:r>
        <w:rPr>
          <w:rFonts w:ascii="仿宋_GB2312" w:eastAsia="仿宋_GB2312" w:hAnsi="宋体" w:hint="eastAsia"/>
          <w:b/>
          <w:sz w:val="32"/>
          <w:szCs w:val="32"/>
        </w:rPr>
        <w:t>及竞买要求</w:t>
      </w:r>
    </w:p>
    <w:p w14:paraId="6B3DED63">
      <w:pPr>
        <w:pStyle w:val="style0"/>
        <w:spacing w:after="240" w:lineRule="exact" w:line="560"/>
        <w:ind w:firstLine="624" w:firstLineChars="195"/>
        <w:jc w:val="left"/>
        <w:rPr>
          <w:rFonts w:ascii="仿宋_GB2312" w:eastAsia="仿宋_GB2312" w:hAnsi="宋体" w:hint="eastAsia"/>
          <w:sz w:val="32"/>
          <w:szCs w:val="32"/>
        </w:rPr>
      </w:pPr>
      <w:r>
        <w:rPr>
          <w:rFonts w:ascii="仿宋_GB2312" w:eastAsia="仿宋_GB2312" w:hAnsi="宋体" w:hint="eastAsia"/>
          <w:sz w:val="32"/>
          <w:szCs w:val="32"/>
        </w:rPr>
        <w:t>1.标的物，具体交货数量、时间参照合同执行</w:t>
      </w:r>
    </w:p>
    <w:tbl>
      <w:tblPr>
        <w:tblStyle w:val="style105"/>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44"/>
        <w:gridCol w:w="2013"/>
        <w:gridCol w:w="1948"/>
        <w:gridCol w:w="1276"/>
        <w:gridCol w:w="3462"/>
      </w:tblGrid>
      <w:tr w14:paraId="4E44FD22">
        <w:trPr>
          <w:trHeight w:val="610" w:hRule="atLeast"/>
        </w:trPr>
        <w:tc>
          <w:tcPr>
            <w:tcW w:w="581" w:type="pct"/>
            <w:tcBorders>
              <w:top w:val="single" w:sz="4" w:space="0" w:color="auto"/>
              <w:left w:val="single" w:sz="4" w:space="0" w:color="auto"/>
              <w:bottom w:val="single" w:sz="4" w:space="0" w:color="auto"/>
              <w:right w:val="single" w:sz="4" w:space="0" w:color="auto"/>
            </w:tcBorders>
            <w:vAlign w:val="center"/>
          </w:tcPr>
          <w:p w14:paraId="2007FCAC">
            <w:pPr>
              <w:pStyle w:val="style0"/>
              <w:jc w:val="center"/>
              <w:rPr>
                <w:rFonts w:ascii="仿宋_GB2312" w:eastAsia="仿宋_GB2312" w:hAnsi="宋体" w:hint="eastAsia"/>
                <w:sz w:val="32"/>
                <w:szCs w:val="32"/>
              </w:rPr>
            </w:pPr>
            <w:r>
              <w:rPr>
                <w:rFonts w:ascii="仿宋_GB2312" w:eastAsia="仿宋_GB2312" w:hAnsi="宋体" w:hint="eastAsia"/>
                <w:sz w:val="32"/>
                <w:szCs w:val="32"/>
              </w:rPr>
              <w:t>标段</w:t>
            </w:r>
          </w:p>
        </w:tc>
        <w:tc>
          <w:tcPr>
            <w:tcW w:w="1022" w:type="pct"/>
            <w:tcBorders>
              <w:top w:val="single" w:sz="4" w:space="0" w:color="auto"/>
              <w:left w:val="single" w:sz="4" w:space="0" w:color="auto"/>
              <w:bottom w:val="single" w:sz="4" w:space="0" w:color="auto"/>
              <w:right w:val="single" w:sz="4" w:space="0" w:color="auto"/>
            </w:tcBorders>
            <w:vAlign w:val="center"/>
          </w:tcPr>
          <w:p w14:paraId="21D2B5F6">
            <w:pPr>
              <w:pStyle w:val="style0"/>
              <w:jc w:val="center"/>
              <w:rPr>
                <w:rFonts w:ascii="仿宋_GB2312" w:eastAsia="仿宋_GB2312" w:hAnsi="宋体" w:hint="eastAsia"/>
                <w:sz w:val="32"/>
                <w:szCs w:val="32"/>
              </w:rPr>
            </w:pPr>
            <w:r>
              <w:rPr>
                <w:rFonts w:ascii="仿宋_GB2312" w:eastAsia="仿宋_GB2312" w:hAnsi="宋体" w:hint="eastAsia"/>
                <w:sz w:val="32"/>
                <w:szCs w:val="32"/>
              </w:rPr>
              <w:t>标的物名称</w:t>
            </w:r>
          </w:p>
        </w:tc>
        <w:tc>
          <w:tcPr>
            <w:tcW w:w="989" w:type="pct"/>
            <w:tcBorders>
              <w:top w:val="single" w:sz="4" w:space="0" w:color="auto"/>
              <w:left w:val="single" w:sz="4" w:space="0" w:color="auto"/>
              <w:bottom w:val="single" w:sz="4" w:space="0" w:color="auto"/>
              <w:right w:val="single" w:sz="4" w:space="0" w:color="auto"/>
            </w:tcBorders>
            <w:vAlign w:val="center"/>
          </w:tcPr>
          <w:p w14:paraId="263D91E5">
            <w:pPr>
              <w:pStyle w:val="style0"/>
              <w:jc w:val="center"/>
              <w:rPr>
                <w:rFonts w:ascii="仿宋_GB2312" w:eastAsia="仿宋_GB2312" w:hAnsi="宋体" w:hint="eastAsia"/>
                <w:sz w:val="32"/>
                <w:szCs w:val="32"/>
              </w:rPr>
            </w:pPr>
            <w:r>
              <w:rPr>
                <w:rFonts w:ascii="仿宋_GB2312" w:eastAsia="仿宋_GB2312" w:hAnsi="宋体" w:hint="eastAsia"/>
                <w:sz w:val="32"/>
                <w:szCs w:val="32"/>
              </w:rPr>
              <w:t>数量</w:t>
            </w:r>
          </w:p>
        </w:tc>
        <w:tc>
          <w:tcPr>
            <w:tcW w:w="648" w:type="pct"/>
            <w:tcBorders>
              <w:top w:val="single" w:sz="4" w:space="0" w:color="auto"/>
              <w:left w:val="single" w:sz="4" w:space="0" w:color="auto"/>
              <w:bottom w:val="single" w:sz="4" w:space="0" w:color="auto"/>
              <w:right w:val="single" w:sz="4" w:space="0" w:color="auto"/>
            </w:tcBorders>
            <w:vAlign w:val="center"/>
          </w:tcPr>
          <w:p w14:paraId="16A9666F">
            <w:pPr>
              <w:pStyle w:val="style0"/>
              <w:jc w:val="center"/>
              <w:rPr>
                <w:rFonts w:ascii="仿宋_GB2312" w:eastAsia="仿宋_GB2312" w:hAnsi="宋体" w:hint="eastAsia"/>
                <w:sz w:val="32"/>
                <w:szCs w:val="32"/>
              </w:rPr>
            </w:pPr>
            <w:r>
              <w:rPr>
                <w:rFonts w:ascii="仿宋_GB2312" w:eastAsia="仿宋_GB2312" w:hAnsi="宋体" w:hint="eastAsia"/>
                <w:sz w:val="32"/>
                <w:szCs w:val="32"/>
              </w:rPr>
              <w:t>税率</w:t>
            </w:r>
          </w:p>
        </w:tc>
        <w:tc>
          <w:tcPr>
            <w:tcW w:w="1758" w:type="pct"/>
            <w:tcBorders>
              <w:top w:val="single" w:sz="4" w:space="0" w:color="auto"/>
              <w:left w:val="single" w:sz="4" w:space="0" w:color="auto"/>
              <w:bottom w:val="single" w:sz="4" w:space="0" w:color="auto"/>
              <w:right w:val="single" w:sz="4" w:space="0" w:color="auto"/>
            </w:tcBorders>
            <w:vAlign w:val="center"/>
          </w:tcPr>
          <w:p w14:paraId="08CCD7DD">
            <w:pPr>
              <w:pStyle w:val="style0"/>
              <w:jc w:val="center"/>
              <w:rPr>
                <w:rFonts w:ascii="仿宋_GB2312" w:eastAsia="仿宋_GB2312" w:hAnsi="宋体" w:hint="eastAsia"/>
                <w:sz w:val="32"/>
                <w:szCs w:val="32"/>
              </w:rPr>
            </w:pPr>
            <w:r>
              <w:rPr>
                <w:rFonts w:ascii="仿宋_GB2312" w:eastAsia="仿宋_GB2312" w:hAnsi="宋体" w:hint="eastAsia"/>
                <w:sz w:val="32"/>
                <w:szCs w:val="32"/>
              </w:rPr>
              <w:t>备注</w:t>
            </w:r>
          </w:p>
        </w:tc>
      </w:tr>
      <w:tr w14:paraId="2A60E2F7">
        <w:tblPrEx/>
        <w:trPr>
          <w:trHeight w:val="628" w:hRule="atLeast"/>
        </w:trPr>
        <w:tc>
          <w:tcPr>
            <w:tcW w:w="581" w:type="pct"/>
            <w:tcBorders>
              <w:top w:val="single" w:sz="4" w:space="0" w:color="auto"/>
              <w:left w:val="single" w:sz="4" w:space="0" w:color="auto"/>
              <w:bottom w:val="single" w:sz="4" w:space="0" w:color="auto"/>
              <w:right w:val="single" w:sz="4" w:space="0" w:color="auto"/>
            </w:tcBorders>
            <w:vAlign w:val="center"/>
          </w:tcPr>
          <w:p w14:paraId="583A75F4">
            <w:pPr>
              <w:pStyle w:val="style0"/>
              <w:jc w:val="center"/>
              <w:rPr>
                <w:rFonts w:ascii="仿宋_GB2312" w:eastAsia="仿宋_GB2312" w:hAnsi="宋体" w:hint="eastAsia"/>
                <w:sz w:val="32"/>
                <w:szCs w:val="32"/>
              </w:rPr>
            </w:pPr>
            <w:r>
              <w:rPr>
                <w:rFonts w:ascii="仿宋_GB2312" w:eastAsia="仿宋_GB2312" w:hAnsi="宋体" w:hint="eastAsia"/>
                <w:sz w:val="32"/>
                <w:szCs w:val="32"/>
              </w:rPr>
              <w:t>A</w:t>
            </w:r>
          </w:p>
        </w:tc>
        <w:tc>
          <w:tcPr>
            <w:tcW w:w="1022" w:type="pct"/>
            <w:tcBorders>
              <w:top w:val="single" w:sz="4" w:space="0" w:color="auto"/>
              <w:left w:val="single" w:sz="4" w:space="0" w:color="auto"/>
              <w:bottom w:val="single" w:sz="4" w:space="0" w:color="auto"/>
              <w:right w:val="single" w:sz="4" w:space="0" w:color="auto"/>
            </w:tcBorders>
            <w:vAlign w:val="center"/>
          </w:tcPr>
          <w:p w14:paraId="6961D146">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rPr>
              <w:t>劈柴</w:t>
            </w:r>
          </w:p>
        </w:tc>
        <w:tc>
          <w:tcPr>
            <w:tcW w:w="989" w:type="pct"/>
            <w:tcBorders>
              <w:top w:val="single" w:sz="4" w:space="0" w:color="auto"/>
              <w:left w:val="single" w:sz="4" w:space="0" w:color="auto"/>
              <w:bottom w:val="single" w:sz="4" w:space="0" w:color="auto"/>
              <w:right w:val="single" w:sz="4" w:space="0" w:color="auto"/>
            </w:tcBorders>
            <w:vAlign w:val="center"/>
          </w:tcPr>
          <w:p w14:paraId="0968EC83">
            <w:pPr>
              <w:pStyle w:val="style0"/>
              <w:jc w:val="center"/>
              <w:rPr>
                <w:rFonts w:ascii="仿宋_GB2312" w:eastAsia="仿宋_GB2312" w:hAnsi="宋体" w:hint="eastAsia"/>
                <w:sz w:val="32"/>
                <w:szCs w:val="32"/>
              </w:rPr>
            </w:pPr>
            <w:r>
              <w:rPr>
                <w:rFonts w:ascii="仿宋_GB2312" w:eastAsia="仿宋_GB2312" w:hAnsi="宋体" w:hint="eastAsia"/>
                <w:sz w:val="32"/>
                <w:szCs w:val="32"/>
              </w:rPr>
              <w:t>约</w:t>
            </w:r>
            <w:r>
              <w:rPr>
                <w:rFonts w:ascii="仿宋_GB2312" w:eastAsia="仿宋_GB2312" w:hAnsi="宋体" w:hint="default"/>
                <w:sz w:val="32"/>
                <w:szCs w:val="32"/>
                <w:lang w:val="en-US"/>
              </w:rPr>
              <w:t>5</w:t>
            </w:r>
            <w:r>
              <w:rPr>
                <w:rFonts w:ascii="仿宋_GB2312" w:eastAsia="仿宋_GB2312" w:hAnsi="宋体"/>
                <w:sz w:val="32"/>
                <w:szCs w:val="32"/>
              </w:rPr>
              <w:t>0</w:t>
            </w:r>
            <w:r>
              <w:rPr>
                <w:rFonts w:ascii="仿宋_GB2312" w:eastAsia="仿宋_GB2312" w:hAnsi="宋体" w:hint="eastAsia"/>
                <w:sz w:val="32"/>
                <w:szCs w:val="32"/>
              </w:rPr>
              <w:t>吨</w:t>
            </w:r>
          </w:p>
        </w:tc>
        <w:tc>
          <w:tcPr>
            <w:tcW w:w="648" w:type="pct"/>
            <w:tcBorders>
              <w:top w:val="single" w:sz="4" w:space="0" w:color="auto"/>
              <w:left w:val="single" w:sz="4" w:space="0" w:color="auto"/>
              <w:bottom w:val="single" w:sz="4" w:space="0" w:color="auto"/>
              <w:right w:val="single" w:sz="4" w:space="0" w:color="auto"/>
            </w:tcBorders>
            <w:vAlign w:val="center"/>
          </w:tcPr>
          <w:p w14:paraId="1BD0391A">
            <w:pPr>
              <w:pStyle w:val="style0"/>
              <w:jc w:val="center"/>
              <w:rPr>
                <w:rFonts w:ascii="仿宋_GB2312" w:eastAsia="仿宋_GB2312" w:hAnsi="宋体" w:hint="eastAsia"/>
                <w:sz w:val="32"/>
                <w:szCs w:val="32"/>
              </w:rPr>
            </w:pPr>
            <w:r>
              <w:rPr>
                <w:rFonts w:ascii="仿宋_GB2312" w:eastAsia="仿宋_GB2312" w:hAnsi="宋体" w:hint="eastAsia"/>
                <w:sz w:val="32"/>
                <w:szCs w:val="32"/>
              </w:rPr>
              <w:t>13%</w:t>
            </w:r>
          </w:p>
        </w:tc>
        <w:tc>
          <w:tcPr>
            <w:tcW w:w="1758" w:type="pct"/>
            <w:tcBorders>
              <w:top w:val="single" w:sz="4" w:space="0" w:color="auto"/>
              <w:left w:val="single" w:sz="4" w:space="0" w:color="auto"/>
              <w:bottom w:val="single" w:sz="4" w:space="0" w:color="auto"/>
              <w:right w:val="single" w:sz="4" w:space="0" w:color="auto"/>
            </w:tcBorders>
            <w:vAlign w:val="center"/>
          </w:tcPr>
          <w:p w14:paraId="6870BF52">
            <w:pPr>
              <w:pStyle w:val="style0"/>
              <w:jc w:val="center"/>
              <w:rPr>
                <w:rFonts w:ascii="仿宋_GB2312" w:eastAsia="仿宋_GB2312" w:hAnsi="宋体" w:hint="eastAsia"/>
                <w:sz w:val="32"/>
                <w:szCs w:val="32"/>
              </w:rPr>
            </w:pPr>
            <w:r>
              <w:rPr>
                <w:rFonts w:ascii="仿宋_GB2312" w:eastAsia="仿宋_GB2312" w:hAnsi="宋体" w:hint="eastAsia"/>
                <w:sz w:val="32"/>
                <w:szCs w:val="32"/>
              </w:rPr>
              <w:t>以实际检斤为准</w:t>
            </w:r>
          </w:p>
        </w:tc>
      </w:tr>
      <w:tr w14:paraId="6C4088BC">
        <w:tblPrEx/>
        <w:trPr>
          <w:trHeight w:val="628" w:hRule="atLeast"/>
        </w:trPr>
        <w:tc>
          <w:tcPr>
            <w:tcW w:w="581" w:type="pct"/>
            <w:tcBorders>
              <w:top w:val="single" w:sz="4" w:space="0" w:color="auto"/>
              <w:left w:val="single" w:sz="4" w:space="0" w:color="auto"/>
              <w:bottom w:val="single" w:sz="4" w:space="0" w:color="auto"/>
              <w:right w:val="single" w:sz="4" w:space="0" w:color="auto"/>
            </w:tcBorders>
            <w:vAlign w:val="center"/>
          </w:tcPr>
          <w:p w14:paraId="46153702">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lang w:val="en-US" w:eastAsia="zh-CN"/>
              </w:rPr>
              <w:t>B</w:t>
            </w:r>
          </w:p>
        </w:tc>
        <w:tc>
          <w:tcPr>
            <w:tcW w:w="1022" w:type="pct"/>
            <w:tcBorders>
              <w:top w:val="single" w:sz="4" w:space="0" w:color="auto"/>
              <w:left w:val="single" w:sz="4" w:space="0" w:color="auto"/>
              <w:bottom w:val="single" w:sz="4" w:space="0" w:color="auto"/>
              <w:right w:val="single" w:sz="4" w:space="0" w:color="auto"/>
            </w:tcBorders>
            <w:vAlign w:val="center"/>
          </w:tcPr>
          <w:p w14:paraId="63A3C934">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rPr>
              <w:t>废</w:t>
            </w:r>
            <w:r>
              <w:rPr>
                <w:rFonts w:ascii="仿宋_GB2312" w:eastAsia="仿宋_GB2312" w:hAnsi="宋体" w:hint="eastAsia"/>
                <w:sz w:val="32"/>
                <w:szCs w:val="32"/>
                <w:lang w:eastAsia="zh-CN"/>
              </w:rPr>
              <w:t>铁</w:t>
            </w:r>
          </w:p>
        </w:tc>
        <w:tc>
          <w:tcPr>
            <w:tcW w:w="989" w:type="pct"/>
            <w:tcBorders>
              <w:top w:val="single" w:sz="4" w:space="0" w:color="auto"/>
              <w:left w:val="single" w:sz="4" w:space="0" w:color="auto"/>
              <w:bottom w:val="single" w:sz="4" w:space="0" w:color="auto"/>
              <w:right w:val="single" w:sz="4" w:space="0" w:color="auto"/>
            </w:tcBorders>
            <w:vAlign w:val="center"/>
          </w:tcPr>
          <w:p w14:paraId="67E9913A">
            <w:pPr>
              <w:pStyle w:val="style0"/>
              <w:jc w:val="center"/>
              <w:rPr>
                <w:rFonts w:ascii="仿宋_GB2312" w:eastAsia="仿宋_GB2312" w:hAnsi="宋体" w:hint="default"/>
                <w:sz w:val="32"/>
                <w:szCs w:val="32"/>
                <w:lang w:val="en-US" w:eastAsia="zh-CN"/>
              </w:rPr>
            </w:pPr>
            <w:r>
              <w:rPr>
                <w:rFonts w:ascii="仿宋_GB2312" w:eastAsia="仿宋_GB2312" w:hAnsi="宋体" w:hint="default"/>
                <w:sz w:val="32"/>
                <w:szCs w:val="32"/>
                <w:lang w:val="en-US" w:eastAsia="zh-CN"/>
              </w:rPr>
              <w:t>250</w:t>
            </w:r>
            <w:r>
              <w:rPr>
                <w:rFonts w:ascii="仿宋_GB2312" w:eastAsia="仿宋_GB2312" w:hAnsi="宋体" w:hint="eastAsia"/>
                <w:sz w:val="32"/>
                <w:szCs w:val="32"/>
                <w:lang w:val="en-US" w:eastAsia="zh-CN"/>
              </w:rPr>
              <w:t>吨</w:t>
            </w:r>
          </w:p>
        </w:tc>
        <w:tc>
          <w:tcPr>
            <w:tcW w:w="648" w:type="pct"/>
            <w:tcBorders>
              <w:top w:val="single" w:sz="4" w:space="0" w:color="auto"/>
              <w:left w:val="single" w:sz="4" w:space="0" w:color="auto"/>
              <w:bottom w:val="single" w:sz="4" w:space="0" w:color="auto"/>
              <w:right w:val="single" w:sz="4" w:space="0" w:color="auto"/>
            </w:tcBorders>
            <w:vAlign w:val="center"/>
          </w:tcPr>
          <w:p w14:paraId="50B50AF9">
            <w:pPr>
              <w:pStyle w:val="style0"/>
              <w:jc w:val="center"/>
              <w:rPr>
                <w:rFonts w:ascii="仿宋_GB2312" w:eastAsia="仿宋_GB2312" w:hAnsi="宋体" w:hint="eastAsia"/>
                <w:sz w:val="32"/>
                <w:szCs w:val="32"/>
              </w:rPr>
            </w:pPr>
            <w:r>
              <w:rPr>
                <w:rFonts w:ascii="仿宋_GB2312" w:eastAsia="仿宋_GB2312" w:hAnsi="宋体" w:hint="eastAsia"/>
                <w:sz w:val="32"/>
                <w:szCs w:val="32"/>
              </w:rPr>
              <w:t>13%</w:t>
            </w:r>
          </w:p>
        </w:tc>
        <w:tc>
          <w:tcPr>
            <w:tcW w:w="1758" w:type="pct"/>
            <w:tcBorders>
              <w:top w:val="single" w:sz="4" w:space="0" w:color="auto"/>
              <w:left w:val="single" w:sz="4" w:space="0" w:color="auto"/>
              <w:bottom w:val="single" w:sz="4" w:space="0" w:color="auto"/>
              <w:right w:val="single" w:sz="4" w:space="0" w:color="auto"/>
            </w:tcBorders>
            <w:vAlign w:val="center"/>
          </w:tcPr>
          <w:p w14:paraId="201229DE">
            <w:pPr>
              <w:pStyle w:val="style0"/>
              <w:jc w:val="center"/>
              <w:rPr>
                <w:rFonts w:ascii="仿宋_GB2312" w:eastAsia="仿宋_GB2312" w:hAnsi="宋体" w:hint="eastAsia"/>
                <w:sz w:val="32"/>
                <w:szCs w:val="32"/>
              </w:rPr>
            </w:pPr>
            <w:r>
              <w:rPr>
                <w:rFonts w:ascii="仿宋_GB2312" w:eastAsia="仿宋_GB2312" w:hAnsi="宋体" w:hint="eastAsia"/>
                <w:sz w:val="32"/>
                <w:szCs w:val="32"/>
                <w:lang w:val="en-US" w:eastAsia="zh-CN"/>
              </w:rPr>
              <w:t>以实际检斤为准</w:t>
            </w:r>
          </w:p>
        </w:tc>
      </w:tr>
      <w:tr w14:paraId="174B27D4">
        <w:tblPrEx/>
        <w:trPr>
          <w:trHeight w:val="628" w:hRule="atLeast"/>
        </w:trPr>
        <w:tc>
          <w:tcPr>
            <w:tcW w:w="581" w:type="pct"/>
            <w:tcBorders>
              <w:top w:val="single" w:sz="4" w:space="0" w:color="auto"/>
              <w:left w:val="single" w:sz="4" w:space="0" w:color="auto"/>
              <w:bottom w:val="single" w:sz="4" w:space="0" w:color="auto"/>
              <w:right w:val="single" w:sz="4" w:space="0" w:color="auto"/>
            </w:tcBorders>
            <w:vAlign w:val="center"/>
          </w:tcPr>
          <w:p w14:paraId="65565C8F">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lang w:val="en-US" w:eastAsia="zh-CN"/>
              </w:rPr>
              <w:t>C</w:t>
            </w:r>
          </w:p>
        </w:tc>
        <w:tc>
          <w:tcPr>
            <w:tcW w:w="1022" w:type="pct"/>
            <w:tcBorders>
              <w:top w:val="single" w:sz="4" w:space="0" w:color="auto"/>
              <w:left w:val="single" w:sz="4" w:space="0" w:color="auto"/>
              <w:bottom w:val="single" w:sz="4" w:space="0" w:color="auto"/>
              <w:right w:val="single" w:sz="4" w:space="0" w:color="auto"/>
            </w:tcBorders>
            <w:vAlign w:val="center"/>
          </w:tcPr>
          <w:p w14:paraId="3C5D922F">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rPr>
              <w:t>废旧包装袋</w:t>
            </w:r>
          </w:p>
        </w:tc>
        <w:tc>
          <w:tcPr>
            <w:tcW w:w="989" w:type="pct"/>
            <w:tcBorders>
              <w:top w:val="single" w:sz="4" w:space="0" w:color="auto"/>
              <w:left w:val="single" w:sz="4" w:space="0" w:color="auto"/>
              <w:bottom w:val="single" w:sz="4" w:space="0" w:color="auto"/>
              <w:right w:val="single" w:sz="4" w:space="0" w:color="auto"/>
            </w:tcBorders>
            <w:vAlign w:val="center"/>
          </w:tcPr>
          <w:p w14:paraId="51478C95">
            <w:pPr>
              <w:pStyle w:val="style0"/>
              <w:jc w:val="center"/>
              <w:rPr>
                <w:rFonts w:ascii="仿宋_GB2312" w:eastAsia="仿宋_GB2312" w:hAnsi="宋体" w:hint="default"/>
                <w:sz w:val="32"/>
                <w:szCs w:val="32"/>
                <w:lang w:val="en-US" w:eastAsia="zh-CN"/>
              </w:rPr>
            </w:pPr>
            <w:r>
              <w:rPr>
                <w:rFonts w:ascii="仿宋_GB2312" w:eastAsia="仿宋_GB2312" w:hAnsi="宋体" w:hint="eastAsia"/>
                <w:sz w:val="32"/>
                <w:szCs w:val="32"/>
              </w:rPr>
              <w:t>约</w:t>
            </w:r>
            <w:r>
              <w:rPr>
                <w:rFonts w:ascii="仿宋_GB2312" w:eastAsia="仿宋_GB2312" w:hAnsi="宋体" w:hint="default"/>
                <w:sz w:val="32"/>
                <w:szCs w:val="32"/>
                <w:lang w:val="en-US"/>
              </w:rPr>
              <w:t>50</w:t>
            </w:r>
            <w:r>
              <w:rPr>
                <w:rFonts w:ascii="仿宋_GB2312" w:eastAsia="仿宋_GB2312" w:hAnsi="宋体" w:hint="eastAsia"/>
                <w:sz w:val="32"/>
                <w:szCs w:val="32"/>
              </w:rPr>
              <w:t>吨</w:t>
            </w:r>
          </w:p>
        </w:tc>
        <w:tc>
          <w:tcPr>
            <w:tcW w:w="648" w:type="pct"/>
            <w:tcBorders>
              <w:top w:val="single" w:sz="4" w:space="0" w:color="auto"/>
              <w:left w:val="single" w:sz="4" w:space="0" w:color="auto"/>
              <w:bottom w:val="single" w:sz="4" w:space="0" w:color="auto"/>
              <w:right w:val="single" w:sz="4" w:space="0" w:color="auto"/>
            </w:tcBorders>
            <w:vAlign w:val="center"/>
          </w:tcPr>
          <w:p w14:paraId="00F2E3B8">
            <w:pPr>
              <w:pStyle w:val="style0"/>
              <w:jc w:val="center"/>
              <w:rPr>
                <w:rFonts w:ascii="仿宋_GB2312" w:eastAsia="仿宋_GB2312" w:hAnsi="宋体" w:hint="eastAsia"/>
                <w:sz w:val="32"/>
                <w:szCs w:val="32"/>
              </w:rPr>
            </w:pPr>
            <w:r>
              <w:rPr>
                <w:rFonts w:ascii="仿宋_GB2312" w:eastAsia="仿宋_GB2312" w:hAnsi="宋体" w:hint="eastAsia"/>
                <w:sz w:val="32"/>
                <w:szCs w:val="32"/>
              </w:rPr>
              <w:t>13%</w:t>
            </w:r>
          </w:p>
        </w:tc>
        <w:tc>
          <w:tcPr>
            <w:tcW w:w="1758" w:type="pct"/>
            <w:tcBorders>
              <w:top w:val="single" w:sz="4" w:space="0" w:color="auto"/>
              <w:left w:val="single" w:sz="4" w:space="0" w:color="auto"/>
              <w:bottom w:val="single" w:sz="4" w:space="0" w:color="auto"/>
              <w:right w:val="single" w:sz="4" w:space="0" w:color="auto"/>
            </w:tcBorders>
            <w:vAlign w:val="center"/>
          </w:tcPr>
          <w:p w14:paraId="0ED12BE0">
            <w:pPr>
              <w:pStyle w:val="style0"/>
              <w:jc w:val="center"/>
              <w:rPr>
                <w:rFonts w:ascii="仿宋_GB2312" w:eastAsia="仿宋_GB2312" w:hAnsi="宋体" w:hint="eastAsia"/>
                <w:sz w:val="32"/>
                <w:szCs w:val="32"/>
              </w:rPr>
            </w:pPr>
            <w:r>
              <w:rPr>
                <w:rFonts w:ascii="仿宋_GB2312" w:eastAsia="仿宋_GB2312" w:hAnsi="宋体" w:hint="eastAsia"/>
                <w:sz w:val="32"/>
                <w:szCs w:val="32"/>
              </w:rPr>
              <w:t>以实际检斤为准</w:t>
            </w:r>
          </w:p>
        </w:tc>
      </w:tr>
    </w:tbl>
    <w:p w14:paraId="4B0126BC">
      <w:pPr>
        <w:pStyle w:val="style0"/>
        <w:spacing w:before="240"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2.存放地点：中信钛业股份有限公司</w:t>
      </w:r>
      <w:r>
        <w:rPr>
          <w:rFonts w:ascii="仿宋_GB2312" w:eastAsia="仿宋_GB2312" w:hAnsi="宋体" w:hint="eastAsia"/>
          <w:sz w:val="32"/>
          <w:szCs w:val="32"/>
          <w:lang w:val="en-US" w:eastAsia="zh-CN"/>
        </w:rPr>
        <w:t>存储库</w:t>
      </w:r>
      <w:r>
        <w:rPr>
          <w:rFonts w:ascii="仿宋_GB2312" w:eastAsia="仿宋_GB2312" w:hAnsi="宋体" w:hint="eastAsia"/>
          <w:sz w:val="32"/>
          <w:szCs w:val="32"/>
        </w:rPr>
        <w:t>。</w:t>
      </w:r>
    </w:p>
    <w:p w14:paraId="7919E2F5">
      <w:pPr>
        <w:pStyle w:val="style0"/>
        <w:spacing w:lineRule="exact" w:line="560"/>
        <w:ind w:firstLine="624" w:firstLineChars="195"/>
        <w:rPr>
          <w:rFonts w:ascii="仿宋_GB2312" w:eastAsia="仿宋_GB2312" w:hint="eastAsia"/>
          <w:sz w:val="32"/>
          <w:szCs w:val="32"/>
          <w:lang w:val="en-US" w:eastAsia="zh-CN"/>
        </w:rPr>
      </w:pPr>
      <w:r>
        <w:rPr>
          <w:rFonts w:ascii="仿宋_GB2312" w:eastAsia="仿宋_GB2312" w:hAnsi="宋体" w:hint="eastAsia"/>
          <w:sz w:val="32"/>
          <w:szCs w:val="32"/>
        </w:rPr>
        <w:t>3.</w:t>
      </w:r>
      <w:r>
        <w:rPr>
          <w:rFonts w:ascii="仿宋_GB2312" w:eastAsia="仿宋_GB2312" w:hint="eastAsia"/>
          <w:sz w:val="32"/>
          <w:szCs w:val="32"/>
        </w:rPr>
        <w:t>实物以现场为准</w:t>
      </w:r>
      <w:r>
        <w:rPr>
          <w:rFonts w:ascii="仿宋_GB2312" w:eastAsia="仿宋_GB2312" w:hint="eastAsia"/>
          <w:sz w:val="32"/>
          <w:szCs w:val="32"/>
          <w:lang w:val="en-US" w:eastAsia="zh-CN"/>
        </w:rPr>
        <w:t>。</w:t>
      </w:r>
    </w:p>
    <w:p w14:paraId="7824A1CA">
      <w:pPr>
        <w:pStyle w:val="style0"/>
        <w:spacing w:lineRule="exact" w:line="560"/>
        <w:ind w:firstLine="624" w:firstLineChars="195"/>
        <w:rPr>
          <w:rFonts w:ascii="仿宋_GB2312" w:eastAsia="仿宋_GB2312"/>
          <w:sz w:val="32"/>
          <w:szCs w:val="32"/>
        </w:rPr>
      </w:pPr>
      <w:r>
        <w:rPr>
          <w:rFonts w:ascii="仿宋_GB2312" w:eastAsia="仿宋_GB2312" w:hAnsi="宋体" w:hint="eastAsia"/>
          <w:sz w:val="32"/>
          <w:szCs w:val="32"/>
        </w:rPr>
        <w:t>4.</w:t>
      </w:r>
      <w:r>
        <w:rPr>
          <w:rFonts w:ascii="仿宋_GB2312" w:cs="仿宋_GB2312" w:eastAsia="仿宋_GB2312" w:hAnsi="仿宋_GB2312"/>
          <w:sz w:val="32"/>
          <w:szCs w:val="32"/>
        </w:rPr>
        <w:t>竞价出售成交后，买方自备装卸、运输等工具，按合同约定期限运出出售方界区，每拖延一天收取买售方保管费用人民币1000元</w:t>
      </w:r>
      <w:r>
        <w:rPr>
          <w:rFonts w:ascii="仿宋_GB2312" w:eastAsia="仿宋_GB2312" w:hint="eastAsia"/>
          <w:sz w:val="32"/>
          <w:szCs w:val="32"/>
        </w:rPr>
        <w:t>。</w:t>
      </w:r>
    </w:p>
    <w:p w14:paraId="05C93E40">
      <w:pPr>
        <w:pStyle w:val="style0"/>
        <w:spacing w:lineRule="exact" w:line="560"/>
        <w:ind w:firstLine="640" w:firstLineChars="200"/>
        <w:rPr>
          <w:rFonts w:ascii="仿宋_GB2312" w:eastAsia="仿宋_GB2312" w:hAnsi="宋体" w:hint="eastAsia"/>
          <w:sz w:val="32"/>
          <w:szCs w:val="32"/>
        </w:rPr>
      </w:pPr>
      <w:r>
        <w:rPr>
          <w:rFonts w:ascii="仿宋_GB2312" w:eastAsia="仿宋_GB2312" w:hAnsi="宋体" w:hint="eastAsia"/>
          <w:sz w:val="32"/>
          <w:szCs w:val="32"/>
        </w:rPr>
        <w:t>5</w:t>
      </w:r>
      <w:r>
        <w:rPr>
          <w:rFonts w:ascii="仿宋_GB2312" w:eastAsia="仿宋_GB2312" w:hAnsi="宋体"/>
          <w:sz w:val="32"/>
          <w:szCs w:val="32"/>
        </w:rPr>
        <w:t>.</w:t>
      </w:r>
      <w:r>
        <w:rPr>
          <w:rFonts w:ascii="仿宋_GB2312" w:eastAsia="仿宋_GB2312" w:hAnsi="宋体" w:hint="eastAsia"/>
          <w:sz w:val="32"/>
          <w:szCs w:val="32"/>
        </w:rPr>
        <w:t>竞价成功后，买受人预付全部货款。出售方按实际成交额以竞买人报名时的名称（企业或个人）开具发票（税率13%）。</w:t>
      </w:r>
    </w:p>
    <w:p w14:paraId="6840D0A1">
      <w:pPr>
        <w:pStyle w:val="style0"/>
        <w:spacing w:lineRule="exact" w:line="560"/>
        <w:ind w:firstLine="640" w:firstLineChars="200"/>
        <w:rPr>
          <w:rFonts w:ascii="仿宋_GB2312" w:eastAsia="仿宋_GB2312"/>
          <w:sz w:val="32"/>
          <w:szCs w:val="32"/>
        </w:rPr>
      </w:pPr>
      <w:r>
        <w:rPr>
          <w:rFonts w:ascii="仿宋_GB2312" w:eastAsia="仿宋_GB2312" w:hint="eastAsia"/>
          <w:sz w:val="32"/>
          <w:szCs w:val="32"/>
        </w:rPr>
        <w:t>6.竞买人踏勘现场发生的费用自理。除</w:t>
      </w:r>
      <w:r>
        <w:rPr>
          <w:rFonts w:ascii="仿宋_GB2312" w:eastAsia="仿宋_GB2312" w:hAnsi="宋体" w:hint="eastAsia"/>
          <w:sz w:val="32"/>
          <w:szCs w:val="32"/>
        </w:rPr>
        <w:t>出售方</w:t>
      </w:r>
      <w:r>
        <w:rPr>
          <w:rFonts w:ascii="仿宋_GB2312" w:eastAsia="仿宋_GB2312" w:hint="eastAsia"/>
          <w:sz w:val="32"/>
          <w:szCs w:val="32"/>
        </w:rPr>
        <w:t>的原因外，竞买人自行负责在踏勘现场中所发生的人员伤亡和财产损失。</w:t>
      </w:r>
    </w:p>
    <w:p w14:paraId="13ACB341">
      <w:pPr>
        <w:pStyle w:val="style0"/>
        <w:spacing w:lineRule="exact" w:line="560"/>
        <w:ind w:firstLine="640" w:firstLineChars="200"/>
        <w:jc w:val="left"/>
        <w:rPr>
          <w:rFonts w:ascii="仿宋_GB2312" w:eastAsia="仿宋_GB2312" w:hAnsi="宋体" w:hint="eastAsia"/>
          <w:sz w:val="32"/>
          <w:szCs w:val="32"/>
        </w:rPr>
      </w:pPr>
      <w:r>
        <w:rPr>
          <w:rFonts w:ascii="仿宋_GB2312" w:eastAsia="仿宋_GB2312" w:hAnsi="宋体" w:hint="eastAsia"/>
          <w:sz w:val="32"/>
          <w:szCs w:val="32"/>
        </w:rPr>
        <w:t>7</w:t>
      </w:r>
      <w:r>
        <w:rPr>
          <w:rFonts w:ascii="仿宋_GB2312" w:eastAsia="仿宋_GB2312" w:hAnsi="宋体"/>
          <w:sz w:val="32"/>
          <w:szCs w:val="32"/>
        </w:rPr>
        <w:t>.</w:t>
      </w:r>
      <w:r>
        <w:rPr>
          <w:rFonts w:ascii="仿宋_GB2312" w:eastAsia="仿宋_GB2312" w:hAnsi="宋体" w:hint="eastAsia"/>
          <w:sz w:val="32"/>
          <w:szCs w:val="32"/>
        </w:rPr>
        <w:t>竞买保证金：</w:t>
      </w:r>
    </w:p>
    <w:p w14:paraId="74D572D0">
      <w:pPr>
        <w:pStyle w:val="style0"/>
        <w:spacing w:lineRule="exact" w:line="560"/>
        <w:ind w:firstLine="640" w:firstLineChars="200"/>
        <w:jc w:val="left"/>
        <w:rPr>
          <w:rFonts w:ascii="仿宋_GB2312" w:eastAsia="仿宋_GB2312" w:hAnsi="宋体" w:hint="eastAsia"/>
          <w:sz w:val="32"/>
          <w:szCs w:val="32"/>
        </w:rPr>
      </w:pPr>
    </w:p>
    <w:tbl>
      <w:tblPr>
        <w:tblStyle w:val="style154"/>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383"/>
        <w:gridCol w:w="2938"/>
        <w:gridCol w:w="2432"/>
        <w:gridCol w:w="3096"/>
      </w:tblGrid>
      <w:tr w14:paraId="59F5AA67">
        <w:trPr>
          <w:jc w:val="center"/>
        </w:trPr>
        <w:tc>
          <w:tcPr>
            <w:tcW w:w="702" w:type="pct"/>
            <w:tcBorders/>
            <w:vAlign w:val="center"/>
          </w:tcPr>
          <w:p w14:paraId="391CE7BA">
            <w:pPr>
              <w:pStyle w:val="style0"/>
              <w:jc w:val="center"/>
              <w:rPr>
                <w:rFonts w:ascii="仿宋_GB2312" w:eastAsia="仿宋_GB2312" w:hAnsi="宋体" w:hint="eastAsia"/>
                <w:sz w:val="32"/>
                <w:szCs w:val="32"/>
              </w:rPr>
            </w:pPr>
            <w:r>
              <w:rPr>
                <w:rFonts w:ascii="仿宋_GB2312" w:eastAsia="仿宋_GB2312" w:hAnsi="宋体" w:hint="eastAsia"/>
                <w:sz w:val="32"/>
                <w:szCs w:val="32"/>
              </w:rPr>
              <w:t>标段</w:t>
            </w:r>
          </w:p>
        </w:tc>
        <w:tc>
          <w:tcPr>
            <w:tcW w:w="1491" w:type="pct"/>
            <w:tcBorders>
              <w:top w:val="single" w:sz="4" w:space="0" w:color="auto"/>
              <w:left w:val="single" w:sz="4" w:space="0" w:color="auto"/>
              <w:bottom w:val="single" w:sz="4" w:space="0" w:color="auto"/>
              <w:right w:val="single" w:sz="4" w:space="0" w:color="auto"/>
            </w:tcBorders>
            <w:vAlign w:val="center"/>
          </w:tcPr>
          <w:p w14:paraId="147AD84D">
            <w:pPr>
              <w:pStyle w:val="style0"/>
              <w:jc w:val="center"/>
              <w:rPr>
                <w:rFonts w:ascii="仿宋_GB2312" w:eastAsia="仿宋_GB2312" w:hAnsi="宋体" w:hint="eastAsia"/>
                <w:sz w:val="32"/>
                <w:szCs w:val="32"/>
              </w:rPr>
            </w:pPr>
            <w:r>
              <w:rPr>
                <w:rFonts w:ascii="仿宋_GB2312" w:eastAsia="仿宋_GB2312" w:hAnsi="宋体" w:hint="eastAsia"/>
                <w:sz w:val="32"/>
                <w:szCs w:val="32"/>
              </w:rPr>
              <w:t>标的物名称</w:t>
            </w:r>
          </w:p>
        </w:tc>
        <w:tc>
          <w:tcPr>
            <w:tcW w:w="2805" w:type="pct"/>
            <w:gridSpan w:val="2"/>
            <w:tcBorders/>
          </w:tcPr>
          <w:p w14:paraId="5E7EE48B">
            <w:pPr>
              <w:pStyle w:val="style0"/>
              <w:spacing w:lineRule="exact" w:line="560"/>
              <w:jc w:val="center"/>
              <w:rPr>
                <w:rFonts w:ascii="仿宋_GB2312" w:eastAsia="仿宋_GB2312" w:hAnsi="宋体" w:hint="eastAsia"/>
                <w:sz w:val="32"/>
                <w:szCs w:val="32"/>
                <w:lang w:eastAsia="zh-CN"/>
              </w:rPr>
            </w:pPr>
            <w:r>
              <w:rPr>
                <w:rFonts w:ascii="仿宋_GB2312" w:eastAsia="仿宋_GB2312" w:hAnsi="宋体" w:hint="eastAsia"/>
                <w:sz w:val="32"/>
                <w:szCs w:val="32"/>
              </w:rPr>
              <w:t>保证金金额</w:t>
            </w:r>
            <w:r>
              <w:rPr>
                <w:rFonts w:ascii="仿宋_GB2312" w:eastAsia="仿宋_GB2312" w:hAnsi="宋体" w:hint="eastAsia"/>
                <w:sz w:val="32"/>
                <w:szCs w:val="32"/>
                <w:lang w:eastAsia="zh-CN"/>
              </w:rPr>
              <w:t>（</w:t>
            </w:r>
            <w:r>
              <w:rPr>
                <w:rFonts w:ascii="仿宋_GB2312" w:eastAsia="仿宋_GB2312" w:hAnsi="宋体" w:hint="eastAsia"/>
                <w:sz w:val="32"/>
                <w:szCs w:val="32"/>
                <w:lang w:val="en-US" w:eastAsia="zh-CN"/>
              </w:rPr>
              <w:t>人民币</w:t>
            </w:r>
            <w:r>
              <w:rPr>
                <w:rFonts w:ascii="仿宋_GB2312" w:eastAsia="仿宋_GB2312" w:hAnsi="宋体" w:hint="eastAsia"/>
                <w:sz w:val="32"/>
                <w:szCs w:val="32"/>
                <w:lang w:eastAsia="zh-CN"/>
              </w:rPr>
              <w:t>）</w:t>
            </w:r>
          </w:p>
        </w:tc>
      </w:tr>
      <w:tr w14:paraId="5FCDBD58">
        <w:tblPrEx/>
        <w:trPr>
          <w:jc w:val="center"/>
        </w:trPr>
        <w:tc>
          <w:tcPr>
            <w:tcW w:w="702" w:type="pct"/>
            <w:tcBorders/>
            <w:vAlign w:val="center"/>
          </w:tcPr>
          <w:p w14:paraId="6B0E1C05">
            <w:pPr>
              <w:pStyle w:val="style0"/>
              <w:jc w:val="center"/>
              <w:rPr>
                <w:rFonts w:ascii="仿宋_GB2312" w:eastAsia="仿宋_GB2312" w:hAnsi="宋体" w:hint="eastAsia"/>
                <w:sz w:val="32"/>
                <w:szCs w:val="32"/>
              </w:rPr>
            </w:pPr>
            <w:r>
              <w:rPr>
                <w:rFonts w:ascii="仿宋_GB2312" w:eastAsia="仿宋_GB2312" w:hAnsi="宋体" w:hint="eastAsia"/>
                <w:sz w:val="32"/>
                <w:szCs w:val="32"/>
              </w:rPr>
              <w:t>A</w:t>
            </w:r>
          </w:p>
        </w:tc>
        <w:tc>
          <w:tcPr>
            <w:tcW w:w="1491" w:type="pct"/>
            <w:tcBorders>
              <w:top w:val="single" w:sz="4" w:space="0" w:color="auto"/>
              <w:left w:val="single" w:sz="4" w:space="0" w:color="auto"/>
              <w:bottom w:val="single" w:sz="4" w:space="0" w:color="auto"/>
              <w:right w:val="single" w:sz="4" w:space="0" w:color="auto"/>
            </w:tcBorders>
            <w:vAlign w:val="center"/>
          </w:tcPr>
          <w:p w14:paraId="15A5E3F6">
            <w:pPr>
              <w:pStyle w:val="style0"/>
              <w:jc w:val="center"/>
              <w:rPr>
                <w:rFonts w:ascii="仿宋_GB2312" w:eastAsia="仿宋_GB2312" w:hAnsi="宋体" w:hint="eastAsia"/>
                <w:sz w:val="32"/>
                <w:szCs w:val="32"/>
              </w:rPr>
            </w:pPr>
            <w:r>
              <w:rPr>
                <w:rFonts w:ascii="仿宋_GB2312" w:eastAsia="仿宋_GB2312" w:hAnsi="宋体" w:hint="eastAsia"/>
                <w:sz w:val="32"/>
                <w:szCs w:val="32"/>
              </w:rPr>
              <w:t>劈柴</w:t>
            </w:r>
          </w:p>
        </w:tc>
        <w:tc>
          <w:tcPr>
            <w:tcW w:w="1234" w:type="pct"/>
            <w:tcBorders/>
          </w:tcPr>
          <w:p w14:paraId="08A4A837">
            <w:pPr>
              <w:pStyle w:val="style0"/>
              <w:spacing w:lineRule="exact" w:line="560"/>
              <w:jc w:val="center"/>
              <w:rPr>
                <w:rFonts w:ascii="仿宋_GB2312" w:eastAsia="仿宋_GB2312" w:hAnsi="宋体" w:hint="eastAsia"/>
                <w:sz w:val="32"/>
                <w:szCs w:val="32"/>
              </w:rPr>
            </w:pPr>
            <w:r>
              <w:rPr>
                <w:rFonts w:ascii="仿宋_GB2312" w:eastAsia="仿宋_GB2312" w:hAnsi="宋体" w:hint="default"/>
                <w:sz w:val="32"/>
                <w:szCs w:val="32"/>
                <w:lang w:val="en-US"/>
              </w:rPr>
              <w:t>1</w:t>
            </w:r>
            <w:r>
              <w:rPr>
                <w:rFonts w:ascii="仿宋_GB2312" w:eastAsia="仿宋_GB2312" w:hAnsi="宋体" w:hint="eastAsia"/>
                <w:sz w:val="32"/>
                <w:szCs w:val="32"/>
              </w:rPr>
              <w:t>0,000</w:t>
            </w:r>
          </w:p>
        </w:tc>
        <w:tc>
          <w:tcPr>
            <w:tcW w:w="1571" w:type="pct"/>
            <w:tcBorders/>
          </w:tcPr>
          <w:p w14:paraId="49F16D4C">
            <w:pPr>
              <w:pStyle w:val="style0"/>
              <w:spacing w:lineRule="exact" w:line="560"/>
              <w:jc w:val="center"/>
              <w:rPr>
                <w:rFonts w:ascii="仿宋_GB2312" w:eastAsia="仿宋_GB2312" w:hAnsi="宋体" w:hint="eastAsia"/>
                <w:sz w:val="32"/>
                <w:szCs w:val="32"/>
              </w:rPr>
            </w:pPr>
            <w:r>
              <w:rPr>
                <w:rFonts w:ascii="仿宋_GB2312" w:eastAsia="仿宋_GB2312" w:hAnsi="宋体" w:hint="eastAsia"/>
                <w:sz w:val="32"/>
                <w:szCs w:val="32"/>
                <w:lang w:val="en-US" w:eastAsia="zh-CN"/>
              </w:rPr>
              <w:t>壹万</w:t>
            </w:r>
            <w:r>
              <w:rPr>
                <w:rFonts w:ascii="仿宋_GB2312" w:eastAsia="仿宋_GB2312" w:hAnsi="宋体" w:hint="eastAsia"/>
                <w:sz w:val="32"/>
                <w:szCs w:val="32"/>
              </w:rPr>
              <w:t>元整</w:t>
            </w:r>
          </w:p>
        </w:tc>
      </w:tr>
      <w:tr w14:paraId="68FA5464">
        <w:tblPrEx/>
        <w:trPr>
          <w:jc w:val="center"/>
        </w:trPr>
        <w:tc>
          <w:tcPr>
            <w:tcW w:w="702" w:type="pct"/>
            <w:tcBorders/>
            <w:vAlign w:val="center"/>
          </w:tcPr>
          <w:p w14:paraId="0AB75EC9">
            <w:pPr>
              <w:pStyle w:val="style0"/>
              <w:jc w:val="center"/>
              <w:rPr>
                <w:rFonts w:ascii="仿宋_GB2312" w:eastAsia="仿宋_GB2312" w:hAnsi="宋体" w:hint="eastAsia"/>
                <w:sz w:val="32"/>
                <w:szCs w:val="32"/>
              </w:rPr>
            </w:pPr>
            <w:r>
              <w:rPr>
                <w:rFonts w:ascii="仿宋_GB2312" w:eastAsia="仿宋_GB2312" w:hAnsi="宋体" w:hint="eastAsia"/>
                <w:sz w:val="32"/>
                <w:szCs w:val="32"/>
                <w:lang w:val="en-US" w:eastAsia="zh-CN"/>
              </w:rPr>
              <w:t>B</w:t>
            </w:r>
          </w:p>
        </w:tc>
        <w:tc>
          <w:tcPr>
            <w:tcW w:w="1491" w:type="pct"/>
            <w:tcBorders>
              <w:top w:val="single" w:sz="4" w:space="0" w:color="auto"/>
              <w:left w:val="single" w:sz="4" w:space="0" w:color="auto"/>
              <w:bottom w:val="single" w:sz="4" w:space="0" w:color="auto"/>
              <w:right w:val="single" w:sz="4" w:space="0" w:color="auto"/>
            </w:tcBorders>
            <w:vAlign w:val="center"/>
          </w:tcPr>
          <w:p w14:paraId="65B97044">
            <w:pPr>
              <w:pStyle w:val="style0"/>
              <w:jc w:val="center"/>
              <w:rPr>
                <w:rFonts w:ascii="仿宋_GB2312" w:eastAsia="仿宋_GB2312" w:hAnsi="宋体" w:hint="eastAsia"/>
                <w:sz w:val="32"/>
                <w:szCs w:val="32"/>
                <w:lang w:val="en-US" w:eastAsia="zh-CN"/>
              </w:rPr>
            </w:pPr>
            <w:r>
              <w:rPr>
                <w:rFonts w:ascii="仿宋_GB2312" w:eastAsia="仿宋_GB2312" w:hAnsi="宋体" w:hint="eastAsia"/>
                <w:sz w:val="32"/>
                <w:szCs w:val="32"/>
                <w:lang w:val="en-US" w:eastAsia="zh-CN"/>
              </w:rPr>
              <w:t>废铁</w:t>
            </w:r>
          </w:p>
        </w:tc>
        <w:tc>
          <w:tcPr>
            <w:tcW w:w="1234" w:type="pct"/>
            <w:tcBorders/>
          </w:tcPr>
          <w:p w14:paraId="7942EC75">
            <w:pPr>
              <w:pStyle w:val="style0"/>
              <w:spacing w:lineRule="exact" w:line="560"/>
              <w:jc w:val="center"/>
              <w:rPr>
                <w:rFonts w:ascii="仿宋_GB2312" w:eastAsia="仿宋_GB2312" w:hAnsi="宋体" w:hint="eastAsia"/>
                <w:sz w:val="32"/>
                <w:szCs w:val="32"/>
                <w:lang w:val="en-US" w:eastAsia="zh-CN"/>
              </w:rPr>
            </w:pPr>
            <w:r>
              <w:rPr>
                <w:rFonts w:ascii="仿宋_GB2312" w:eastAsia="仿宋_GB2312" w:hAnsi="宋体" w:hint="default"/>
                <w:sz w:val="32"/>
                <w:szCs w:val="32"/>
                <w:lang w:val="en-US"/>
              </w:rPr>
              <w:t>8</w:t>
            </w:r>
            <w:r>
              <w:rPr>
                <w:rFonts w:ascii="仿宋_GB2312" w:eastAsia="仿宋_GB2312" w:hAnsi="宋体" w:hint="eastAsia"/>
                <w:sz w:val="32"/>
                <w:szCs w:val="32"/>
              </w:rPr>
              <w:t>0,000</w:t>
            </w:r>
          </w:p>
        </w:tc>
        <w:tc>
          <w:tcPr>
            <w:tcW w:w="1571" w:type="pct"/>
            <w:tcBorders/>
          </w:tcPr>
          <w:p w14:paraId="30282276">
            <w:pPr>
              <w:pStyle w:val="style0"/>
              <w:spacing w:lineRule="exact" w:line="560"/>
              <w:jc w:val="center"/>
              <w:rPr>
                <w:rFonts w:ascii="仿宋_GB2312" w:eastAsia="仿宋_GB2312" w:hAnsi="宋体" w:hint="eastAsia"/>
                <w:sz w:val="32"/>
                <w:szCs w:val="32"/>
                <w:lang w:val="en-US" w:eastAsia="zh-CN"/>
              </w:rPr>
            </w:pPr>
            <w:r>
              <w:rPr>
                <w:rFonts w:ascii="仿宋_GB2312" w:eastAsia="仿宋_GB2312" w:hAnsi="宋体" w:hint="eastAsia"/>
                <w:sz w:val="32"/>
                <w:szCs w:val="32"/>
                <w:lang w:val="en-US" w:eastAsia="zh-CN"/>
              </w:rPr>
              <w:t>捌万</w:t>
            </w:r>
            <w:r>
              <w:rPr>
                <w:rFonts w:ascii="仿宋_GB2312" w:eastAsia="仿宋_GB2312" w:hAnsi="宋体" w:hint="eastAsia"/>
                <w:sz w:val="32"/>
                <w:szCs w:val="32"/>
              </w:rPr>
              <w:t>元整</w:t>
            </w:r>
          </w:p>
        </w:tc>
      </w:tr>
      <w:tr w14:paraId="6CAE09EF">
        <w:tblPrEx/>
        <w:trPr>
          <w:jc w:val="center"/>
        </w:trPr>
        <w:tc>
          <w:tcPr>
            <w:tcW w:w="702" w:type="pct"/>
            <w:tcBorders/>
            <w:vAlign w:val="center"/>
          </w:tcPr>
          <w:p w14:paraId="4E17B1C8">
            <w:pPr>
              <w:pStyle w:val="style0"/>
              <w:jc w:val="center"/>
              <w:rPr>
                <w:rFonts w:ascii="仿宋_GB2312" w:eastAsia="仿宋_GB2312" w:hAnsi="宋体" w:hint="eastAsia"/>
                <w:sz w:val="32"/>
                <w:szCs w:val="32"/>
              </w:rPr>
            </w:pPr>
            <w:r>
              <w:rPr>
                <w:rFonts w:ascii="仿宋_GB2312" w:eastAsia="仿宋_GB2312" w:hAnsi="宋体" w:hint="eastAsia"/>
                <w:sz w:val="32"/>
                <w:szCs w:val="32"/>
                <w:lang w:val="en-US" w:eastAsia="zh-CN"/>
              </w:rPr>
              <w:t>C</w:t>
            </w:r>
          </w:p>
        </w:tc>
        <w:tc>
          <w:tcPr>
            <w:tcW w:w="1491" w:type="pct"/>
            <w:tcBorders>
              <w:top w:val="single" w:sz="4" w:space="0" w:color="auto"/>
              <w:left w:val="single" w:sz="4" w:space="0" w:color="auto"/>
              <w:bottom w:val="single" w:sz="4" w:space="0" w:color="auto"/>
              <w:right w:val="single" w:sz="4" w:space="0" w:color="auto"/>
            </w:tcBorders>
            <w:vAlign w:val="center"/>
          </w:tcPr>
          <w:p w14:paraId="7662BFE4">
            <w:pPr>
              <w:pStyle w:val="style0"/>
              <w:jc w:val="center"/>
              <w:rPr>
                <w:rFonts w:ascii="仿宋_GB2312" w:eastAsia="仿宋_GB2312" w:hAnsi="宋体" w:hint="eastAsia"/>
                <w:sz w:val="32"/>
                <w:szCs w:val="32"/>
              </w:rPr>
            </w:pPr>
            <w:r>
              <w:rPr>
                <w:rFonts w:ascii="仿宋_GB2312" w:eastAsia="仿宋_GB2312" w:hAnsi="宋体" w:hint="eastAsia"/>
                <w:sz w:val="32"/>
                <w:szCs w:val="32"/>
              </w:rPr>
              <w:t>废旧包装袋</w:t>
            </w:r>
          </w:p>
        </w:tc>
        <w:tc>
          <w:tcPr>
            <w:tcW w:w="1234" w:type="pct"/>
            <w:tcBorders/>
            <w:shd w:val="clear" w:color="auto" w:fill="auto"/>
          </w:tcPr>
          <w:p w14:paraId="192985F5">
            <w:pPr>
              <w:pStyle w:val="style0"/>
              <w:spacing w:lineRule="exact" w:line="560"/>
              <w:jc w:val="center"/>
              <w:rPr>
                <w:rFonts w:ascii="仿宋_GB2312" w:cs="Times New Roman" w:eastAsia="仿宋_GB2312" w:hAnsi="宋体" w:hint="eastAsia"/>
                <w:sz w:val="32"/>
                <w:szCs w:val="32"/>
                <w:lang w:val="en-US" w:bidi="ar-SA" w:eastAsia="zh-CN"/>
              </w:rPr>
            </w:pPr>
            <w:r>
              <w:rPr>
                <w:rFonts w:ascii="仿宋_GB2312" w:eastAsia="仿宋_GB2312" w:hAnsi="宋体" w:hint="default"/>
                <w:sz w:val="32"/>
                <w:szCs w:val="32"/>
                <w:lang w:val="en-US"/>
              </w:rPr>
              <w:t>1</w:t>
            </w:r>
            <w:r>
              <w:rPr>
                <w:rFonts w:ascii="仿宋_GB2312" w:eastAsia="仿宋_GB2312" w:hAnsi="宋体" w:hint="eastAsia"/>
                <w:sz w:val="32"/>
                <w:szCs w:val="32"/>
              </w:rPr>
              <w:t>0,000</w:t>
            </w:r>
          </w:p>
        </w:tc>
        <w:tc>
          <w:tcPr>
            <w:tcW w:w="1571" w:type="pct"/>
            <w:tcBorders/>
            <w:shd w:val="clear" w:color="auto" w:fill="auto"/>
          </w:tcPr>
          <w:p w14:paraId="699C4259">
            <w:pPr>
              <w:pStyle w:val="style0"/>
              <w:spacing w:lineRule="exact" w:line="560"/>
              <w:jc w:val="center"/>
              <w:rPr>
                <w:rFonts w:ascii="仿宋_GB2312" w:cs="Times New Roman" w:eastAsia="仿宋_GB2312" w:hAnsi="宋体" w:hint="eastAsia"/>
                <w:sz w:val="32"/>
                <w:szCs w:val="32"/>
                <w:lang w:val="en-US" w:bidi="ar-SA" w:eastAsia="zh-CN"/>
              </w:rPr>
            </w:pPr>
            <w:r>
              <w:rPr>
                <w:rFonts w:ascii="仿宋_GB2312" w:eastAsia="仿宋_GB2312" w:hAnsi="宋体" w:hint="eastAsia"/>
                <w:sz w:val="32"/>
                <w:szCs w:val="32"/>
                <w:lang w:val="en-US" w:eastAsia="zh-CN"/>
              </w:rPr>
              <w:t>壹万</w:t>
            </w:r>
            <w:r>
              <w:rPr>
                <w:rFonts w:ascii="仿宋_GB2312" w:eastAsia="仿宋_GB2312" w:hAnsi="宋体" w:hint="eastAsia"/>
                <w:sz w:val="32"/>
                <w:szCs w:val="32"/>
              </w:rPr>
              <w:t>元整</w:t>
            </w:r>
          </w:p>
        </w:tc>
      </w:tr>
    </w:tbl>
    <w:p w14:paraId="4B13150C">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hint="eastAsia"/>
          <w:sz w:val="32"/>
          <w:szCs w:val="32"/>
          <w:lang w:val="en-US" w:eastAsia="zh-CN"/>
        </w:rPr>
        <w:t>如</w:t>
      </w:r>
      <w:r>
        <w:rPr>
          <w:rFonts w:ascii="仿宋_GB2312" w:eastAsia="仿宋_GB2312" w:hAnsi="宋体" w:hint="eastAsia"/>
          <w:sz w:val="32"/>
          <w:szCs w:val="32"/>
        </w:rPr>
        <w:t>竞买不成，竞买保证金在竞价出售结束后</w:t>
      </w:r>
      <w:r>
        <w:rPr>
          <w:rFonts w:ascii="仿宋_GB2312" w:eastAsia="仿宋_GB2312" w:hAnsi="宋体"/>
          <w:sz w:val="32"/>
          <w:szCs w:val="32"/>
        </w:rPr>
        <w:t>5</w:t>
      </w:r>
      <w:r>
        <w:rPr>
          <w:rFonts w:ascii="仿宋_GB2312" w:eastAsia="仿宋_GB2312" w:hAnsi="宋体" w:hint="eastAsia"/>
          <w:sz w:val="32"/>
          <w:szCs w:val="32"/>
        </w:rPr>
        <w:t>个工作日无息退还。竞买成交，竞买保证金转为履约保证金，在拟出售物资按出售方要求运出出售方界区且双方无争议后，于</w:t>
      </w:r>
      <w:r>
        <w:rPr>
          <w:rFonts w:ascii="仿宋_GB2312" w:eastAsia="仿宋_GB2312" w:hAnsi="宋体"/>
          <w:sz w:val="32"/>
          <w:szCs w:val="32"/>
        </w:rPr>
        <w:t>5</w:t>
      </w:r>
      <w:r>
        <w:rPr>
          <w:rFonts w:ascii="仿宋_GB2312" w:eastAsia="仿宋_GB2312" w:hAnsi="宋体" w:hint="eastAsia"/>
          <w:sz w:val="32"/>
          <w:szCs w:val="32"/>
        </w:rPr>
        <w:t>个工作日无息退还。</w:t>
      </w:r>
    </w:p>
    <w:p w14:paraId="0FE8B342">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hint="eastAsia"/>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hint="eastAsia"/>
          <w:sz w:val="32"/>
          <w:szCs w:val="32"/>
        </w:rPr>
        <w:t>9.逾期2个工作日买受人不提货则视同买受人自动放弃购买权，出售方有权扣除买受人全部竞买（履约）保证金及30%货款，且有权对该批产品另行处理。</w:t>
      </w:r>
    </w:p>
    <w:p w14:paraId="41668919">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10.</w:t>
      </w:r>
      <w:r>
        <w:rPr>
          <w:rFonts w:hint="eastAsia"/>
        </w:rPr>
        <w:t xml:space="preserve"> </w:t>
      </w:r>
      <w:r>
        <w:rPr>
          <w:rFonts w:ascii="仿宋_GB2312" w:eastAsia="仿宋_GB2312" w:hAnsi="宋体" w:hint="eastAsia"/>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11</w:t>
      </w:r>
      <w:r>
        <w:rPr>
          <w:rFonts w:ascii="仿宋_GB2312" w:eastAsia="仿宋_GB2312" w:hAnsi="宋体"/>
          <w:sz w:val="32"/>
          <w:szCs w:val="32"/>
        </w:rPr>
        <w:t>.</w:t>
      </w:r>
      <w:r>
        <w:rPr>
          <w:rFonts w:ascii="仿宋_GB2312" w:eastAsia="仿宋_GB2312" w:hAnsi="宋体" w:hint="eastAsia"/>
          <w:sz w:val="32"/>
          <w:szCs w:val="32"/>
        </w:rPr>
        <w:t>出售的废旧物资由买受方负责装车，产生的费用由其自行承担。装卸、运输等过程中发生的一切安全事故与出售方无关。</w:t>
      </w:r>
    </w:p>
    <w:p w14:paraId="1691FEE1">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竞买人应承担竞买过程中所发生的一切费用，无论竞买结果如何，出售方对上述费用不负任何责任。</w:t>
      </w:r>
    </w:p>
    <w:p w14:paraId="285AEDDB">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竞价活动开标需满足三家及以上竞买单位参与并报价，如报名家数不足或最终参与报价家数不足，则流标。</w:t>
      </w:r>
    </w:p>
    <w:p w14:paraId="19254BDE">
      <w:pPr>
        <w:pStyle w:val="style0"/>
        <w:spacing w:lineRule="exact" w:line="560"/>
        <w:ind w:firstLine="624" w:firstLineChars="195"/>
        <w:jc w:val="left"/>
        <w:rPr>
          <w:rFonts w:ascii="仿宋_GB2312" w:eastAsia="仿宋_GB2312" w:hAnsi="宋体" w:hint="eastAsia"/>
          <w:sz w:val="32"/>
          <w:szCs w:val="32"/>
        </w:rPr>
      </w:pPr>
      <w:r>
        <w:rPr>
          <w:rFonts w:ascii="仿宋_GB2312" w:eastAsia="仿宋_GB2312" w:hAnsi="宋体" w:hint="eastAsia"/>
          <w:sz w:val="32"/>
          <w:szCs w:val="32"/>
        </w:rPr>
        <w:t>14.具体交货数量、时间参照合同执行。</w:t>
      </w:r>
    </w:p>
    <w:p w14:paraId="07179941">
      <w:pPr>
        <w:pStyle w:val="style0"/>
        <w:spacing w:before="120" w:after="120" w:lineRule="exact" w:line="560"/>
        <w:ind w:firstLine="626" w:firstLineChars="195"/>
        <w:jc w:val="left"/>
        <w:rPr>
          <w:rFonts w:ascii="仿宋_GB2312" w:eastAsia="仿宋_GB2312" w:hAnsi="宋体" w:hint="eastAsia"/>
          <w:b/>
          <w:sz w:val="32"/>
          <w:szCs w:val="32"/>
        </w:rPr>
      </w:pPr>
      <w:r>
        <w:rPr>
          <w:rFonts w:ascii="仿宋_GB2312" w:eastAsia="仿宋_GB2312" w:hAnsi="宋体" w:hint="eastAsia"/>
          <w:b/>
          <w:sz w:val="32"/>
          <w:szCs w:val="32"/>
        </w:rPr>
        <w:t>二、报名须知和竞买方法</w:t>
      </w:r>
    </w:p>
    <w:p w14:paraId="11E4D736">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1.</w:t>
      </w:r>
      <w:r>
        <w:rPr>
          <w:rFonts w:hint="eastAsia"/>
        </w:rPr>
        <w:t xml:space="preserve"> </w:t>
      </w:r>
      <w:r>
        <w:rPr>
          <w:rFonts w:ascii="仿宋_GB2312" w:eastAsia="仿宋_GB2312" w:hAnsi="宋体" w:hint="eastAsia"/>
          <w:sz w:val="32"/>
          <w:szCs w:val="32"/>
        </w:rPr>
        <w:t>报名范围：具有法人资格的企业单位和社会各界人士均可（禁止具有关联关系企业、社会自然人同时参加同一标的物的竞</w:t>
      </w:r>
      <w:r>
        <w:rPr>
          <w:rFonts w:ascii="仿宋_GB2312" w:eastAsia="仿宋_GB2312" w:hAnsi="宋体" w:hint="eastAsia"/>
          <w:sz w:val="32"/>
          <w:szCs w:val="32"/>
          <w:lang w:val="en-US" w:eastAsia="zh-CN"/>
        </w:rPr>
        <w:t>价</w:t>
      </w:r>
      <w:r>
        <w:rPr>
          <w:rFonts w:ascii="仿宋_GB2312" w:eastAsia="仿宋_GB2312" w:hAnsi="宋体" w:hint="eastAsia"/>
          <w:sz w:val="32"/>
          <w:szCs w:val="32"/>
        </w:rPr>
        <w:t>活动，一经发现，取消竞买资格，中标的取消中标资格，同时扣除保证金）。</w:t>
      </w:r>
    </w:p>
    <w:p w14:paraId="67897FA4">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2.</w:t>
      </w:r>
      <w:r>
        <w:rPr>
          <w:rFonts w:hint="eastAsia"/>
        </w:rPr>
        <w:t xml:space="preserve"> </w:t>
      </w:r>
      <w:r>
        <w:rPr>
          <w:rFonts w:ascii="仿宋_GB2312" w:eastAsia="仿宋_GB2312" w:hAnsi="宋体" w:hint="eastAsia"/>
          <w:sz w:val="32"/>
          <w:szCs w:val="32"/>
        </w:rPr>
        <w:t>报名时需按照本公告的要求交纳竞买保证金。</w:t>
      </w:r>
    </w:p>
    <w:p w14:paraId="2C25DB0C">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3.</w:t>
      </w:r>
      <w:r>
        <w:rPr>
          <w:rFonts w:hint="eastAsia"/>
        </w:rPr>
        <w:t xml:space="preserve"> </w:t>
      </w:r>
      <w:r>
        <w:rPr>
          <w:rFonts w:ascii="仿宋_GB2312" w:eastAsia="仿宋_GB2312" w:hAnsi="宋体" w:hint="eastAsia"/>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eastAsia="仿宋_GB2312" w:hAnsi="宋体"/>
          <w:sz w:val="32"/>
          <w:szCs w:val="32"/>
        </w:rPr>
        <w:t>所有报名提交的资料仅用于本项目资格评审</w:t>
      </w:r>
      <w:r>
        <w:rPr>
          <w:rFonts w:ascii="仿宋_GB2312" w:eastAsia="仿宋_GB2312" w:hAnsi="宋体" w:hint="eastAsia"/>
          <w:sz w:val="32"/>
          <w:szCs w:val="32"/>
        </w:rPr>
        <w:t>，无论竞买是否成功概不退还）。</w:t>
      </w:r>
    </w:p>
    <w:p w14:paraId="52EA7B2E">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注：请将上述资料加盖公章及签字递交主办方（现场、电子邮件或传真方式均可）。</w:t>
      </w:r>
    </w:p>
    <w:p w14:paraId="1711706E">
      <w:pPr>
        <w:pStyle w:val="style0"/>
        <w:spacing w:lineRule="exact" w:line="560"/>
        <w:ind w:firstLine="624" w:firstLineChars="195"/>
        <w:rPr>
          <w:rFonts w:ascii="仿宋_GB2312" w:eastAsia="仿宋_GB2312" w:hAnsi="宋体" w:hint="eastAsia"/>
          <w:sz w:val="32"/>
          <w:szCs w:val="32"/>
        </w:rPr>
      </w:pPr>
      <w:r>
        <w:rPr>
          <w:rFonts w:ascii="仿宋_GB2312" w:eastAsia="仿宋_GB2312" w:hAnsi="宋体" w:hint="eastAsia"/>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ascii="仿宋_GB2312" w:eastAsia="仿宋_GB2312" w:hAnsi="宋体" w:hint="eastAsia"/>
          <w:sz w:val="32"/>
          <w:szCs w:val="32"/>
        </w:rPr>
        <w:t>附件一：</w:t>
      </w:r>
    </w:p>
    <w:p w14:paraId="3B33A050">
      <w:pPr>
        <w:pStyle w:val="style0"/>
        <w:spacing w:lineRule="exact" w:line="520"/>
        <w:ind w:firstLine="540"/>
        <w:jc w:val="center"/>
        <w:rPr>
          <w:rFonts w:ascii="黑体" w:eastAsia="黑体"/>
          <w:b/>
          <w:sz w:val="44"/>
          <w:szCs w:val="44"/>
        </w:rPr>
      </w:pPr>
    </w:p>
    <w:p w14:paraId="3D75A301">
      <w:pPr>
        <w:pStyle w:val="style0"/>
        <w:jc w:val="center"/>
        <w:rPr>
          <w:rFonts w:eastAsia="华文中宋"/>
          <w:b/>
          <w:sz w:val="44"/>
          <w:szCs w:val="44"/>
        </w:rPr>
      </w:pPr>
      <w:r>
        <w:rPr>
          <w:rFonts w:eastAsia="华文中宋" w:hAnsi="华文中宋" w:hint="eastAsia"/>
          <w:b/>
          <w:sz w:val="44"/>
          <w:szCs w:val="44"/>
        </w:rPr>
        <w:t>法定代表人身份证明</w:t>
      </w:r>
    </w:p>
    <w:p w14:paraId="60B76F21">
      <w:pPr>
        <w:pStyle w:val="style0"/>
        <w:rPr>
          <w:rFonts w:eastAsia="仿宋_GB2312"/>
          <w:sz w:val="32"/>
          <w:szCs w:val="32"/>
        </w:rPr>
      </w:pPr>
    </w:p>
    <w:p w14:paraId="7437CE76">
      <w:pPr>
        <w:pStyle w:val="style0"/>
        <w:ind w:firstLine="640" w:firstLineChars="200"/>
        <w:rPr>
          <w:rFonts w:ascii="仿宋_GB2312" w:eastAsia="仿宋_GB2312"/>
          <w:sz w:val="32"/>
          <w:szCs w:val="32"/>
        </w:rPr>
      </w:pPr>
      <w:r>
        <w:rPr>
          <w:rFonts w:ascii="仿宋_GB2312" w:eastAsia="仿宋_GB2312" w:hint="eastAsia"/>
          <w:sz w:val="32"/>
          <w:szCs w:val="32"/>
        </w:rPr>
        <w:t>竞买人名称：</w:t>
      </w:r>
      <w:r>
        <w:rPr>
          <w:rFonts w:ascii="仿宋_GB2312" w:eastAsia="仿宋_GB2312" w:hint="eastAsia"/>
          <w:sz w:val="32"/>
          <w:szCs w:val="32"/>
          <w:u w:val="single"/>
        </w:rPr>
        <w:t xml:space="preserve">                       </w:t>
      </w:r>
    </w:p>
    <w:p w14:paraId="12E9EC97">
      <w:pPr>
        <w:pStyle w:val="style0"/>
        <w:ind w:firstLine="640" w:firstLineChars="200"/>
        <w:rPr>
          <w:rFonts w:ascii="仿宋_GB2312" w:eastAsia="仿宋_GB2312"/>
          <w:sz w:val="32"/>
          <w:szCs w:val="32"/>
        </w:rPr>
      </w:pPr>
      <w:r>
        <w:rPr>
          <w:rFonts w:ascii="仿宋_GB2312" w:eastAsia="仿宋_GB2312" w:hint="eastAsia"/>
          <w:sz w:val="32"/>
          <w:szCs w:val="32"/>
        </w:rPr>
        <w:t>单位性质：</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14:paraId="54AD0B19">
      <w:pPr>
        <w:pStyle w:val="style0"/>
        <w:ind w:firstLine="640" w:firstLineChars="200"/>
        <w:rPr>
          <w:rFonts w:ascii="仿宋_GB2312" w:eastAsia="仿宋_GB2312"/>
          <w:sz w:val="32"/>
          <w:szCs w:val="32"/>
        </w:rPr>
      </w:pPr>
      <w:r>
        <w:rPr>
          <w:rFonts w:ascii="仿宋_GB2312" w:eastAsia="仿宋_GB2312" w:hint="eastAsia"/>
          <w:sz w:val="32"/>
          <w:szCs w:val="32"/>
        </w:rPr>
        <w:t>地址：</w:t>
      </w:r>
      <w:r>
        <w:rPr>
          <w:rFonts w:ascii="仿宋_GB2312" w:eastAsia="仿宋_GB2312" w:hint="eastAsia"/>
          <w:sz w:val="32"/>
          <w:szCs w:val="32"/>
          <w:u w:val="single"/>
        </w:rPr>
        <w:t xml:space="preserve">                             </w:t>
      </w:r>
    </w:p>
    <w:p w14:paraId="2099A58B">
      <w:pPr>
        <w:pStyle w:val="style0"/>
        <w:ind w:firstLine="640" w:firstLineChars="200"/>
        <w:rPr>
          <w:rFonts w:ascii="仿宋_GB2312" w:eastAsia="仿宋_GB2312"/>
          <w:sz w:val="32"/>
          <w:szCs w:val="32"/>
        </w:rPr>
      </w:pPr>
      <w:r>
        <w:rPr>
          <w:rFonts w:ascii="仿宋_GB2312" w:eastAsia="仿宋_GB2312" w:hint="eastAsia"/>
          <w:sz w:val="32"/>
          <w:szCs w:val="32"/>
        </w:rPr>
        <w:t>成立时间：</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p w14:paraId="06E8B738">
      <w:pPr>
        <w:pStyle w:val="style0"/>
        <w:ind w:firstLine="640" w:firstLineChars="200"/>
        <w:rPr>
          <w:rFonts w:ascii="仿宋_GB2312" w:eastAsia="仿宋_GB2312"/>
          <w:sz w:val="32"/>
          <w:szCs w:val="32"/>
        </w:rPr>
      </w:pPr>
      <w:r>
        <w:rPr>
          <w:rFonts w:ascii="仿宋_GB2312" w:eastAsia="仿宋_GB2312" w:hint="eastAsia"/>
          <w:sz w:val="32"/>
          <w:szCs w:val="32"/>
        </w:rPr>
        <w:t>经营期限：</w:t>
      </w:r>
      <w:r>
        <w:rPr>
          <w:rFonts w:ascii="仿宋_GB2312" w:eastAsia="仿宋_GB2312" w:hint="eastAsia"/>
          <w:sz w:val="32"/>
          <w:szCs w:val="32"/>
          <w:u w:val="single"/>
        </w:rPr>
        <w:t xml:space="preserve">                      </w:t>
      </w:r>
    </w:p>
    <w:p w14:paraId="7E3384EB">
      <w:pPr>
        <w:pStyle w:val="style0"/>
        <w:ind w:firstLine="640" w:firstLineChars="200"/>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u w:val="single"/>
        </w:rPr>
        <w:t xml:space="preserve">        </w:t>
      </w:r>
      <w:r>
        <w:rPr>
          <w:rFonts w:ascii="仿宋_GB2312" w:eastAsia="仿宋_GB2312" w:hint="eastAsia"/>
          <w:sz w:val="32"/>
          <w:szCs w:val="32"/>
        </w:rPr>
        <w:t>系</w:t>
      </w:r>
      <w:r>
        <w:rPr>
          <w:rFonts w:ascii="仿宋_GB2312" w:eastAsia="仿宋_GB2312" w:hint="eastAsia"/>
          <w:sz w:val="32"/>
          <w:szCs w:val="32"/>
          <w:u w:val="single"/>
        </w:rPr>
        <w:t xml:space="preserve">                        </w:t>
      </w:r>
      <w:r>
        <w:rPr>
          <w:rFonts w:ascii="仿宋_GB2312" w:eastAsia="仿宋_GB2312" w:hint="eastAsia"/>
          <w:sz w:val="32"/>
          <w:szCs w:val="32"/>
        </w:rPr>
        <w:t>（竞买人名称）的法定代表人。</w:t>
      </w:r>
    </w:p>
    <w:p w14:paraId="4C82376B">
      <w:pPr>
        <w:pStyle w:val="style0"/>
        <w:ind w:firstLine="640" w:firstLineChars="200"/>
        <w:rPr>
          <w:rFonts w:ascii="仿宋_GB2312" w:eastAsia="仿宋_GB2312"/>
          <w:sz w:val="32"/>
          <w:szCs w:val="32"/>
        </w:rPr>
      </w:pPr>
      <w:r>
        <w:rPr>
          <w:rFonts w:ascii="仿宋_GB2312" w:eastAsia="仿宋_GB2312" w:hint="eastAsia"/>
          <w:sz w:val="32"/>
          <w:szCs w:val="32"/>
        </w:rPr>
        <w:t>特此证明。</w:t>
      </w:r>
    </w:p>
    <w:p w14:paraId="05E982F9">
      <w:pPr>
        <w:pStyle w:val="style0"/>
        <w:ind w:firstLine="640" w:firstLineChars="200"/>
        <w:rPr>
          <w:rFonts w:ascii="仿宋_GB2312" w:eastAsia="仿宋_GB2312"/>
          <w:sz w:val="32"/>
          <w:szCs w:val="32"/>
        </w:rPr>
      </w:pPr>
      <w:r>
        <w:rPr>
          <w:rFonts w:ascii="仿宋_GB2312" w:eastAsia="仿宋_GB2312" w:hint="eastAsia"/>
          <w:sz w:val="32"/>
          <w:szCs w:val="32"/>
        </w:rPr>
        <w:t>有效期：自签署之日起至202</w:t>
      </w:r>
      <w:r>
        <w:rPr>
          <w:rFonts w:ascii="仿宋_GB2312" w:eastAsia="仿宋_GB2312" w:hint="default"/>
          <w:sz w:val="32"/>
          <w:szCs w:val="32"/>
          <w:lang w:val="en-US"/>
        </w:rPr>
        <w:t>6</w:t>
      </w:r>
      <w:r>
        <w:rPr>
          <w:rFonts w:ascii="仿宋_GB2312" w:eastAsia="仿宋_GB2312" w:hint="eastAsia"/>
          <w:sz w:val="32"/>
          <w:szCs w:val="32"/>
        </w:rPr>
        <w:t>年12月31止。</w:t>
      </w:r>
    </w:p>
    <w:p w14:paraId="46D8BA0D">
      <w:pPr>
        <w:pStyle w:val="style0"/>
        <w:ind w:firstLine="200"/>
        <w:rPr>
          <w:rFonts w:ascii="仿宋_GB2312" w:eastAsia="仿宋_GB2312"/>
          <w:sz w:val="32"/>
          <w:szCs w:val="32"/>
        </w:rPr>
      </w:pPr>
    </w:p>
    <w:p w14:paraId="0E84F512">
      <w:pPr>
        <w:pStyle w:val="style0"/>
        <w:jc w:val="right"/>
        <w:rPr>
          <w:rFonts w:ascii="仿宋_GB2312" w:eastAsia="仿宋_GB2312"/>
          <w:sz w:val="32"/>
          <w:szCs w:val="32"/>
        </w:rPr>
      </w:pPr>
    </w:p>
    <w:p w14:paraId="1E839AD7">
      <w:pPr>
        <w:pStyle w:val="style0"/>
        <w:ind w:firstLine="640" w:firstLineChars="200"/>
        <w:jc w:val="both"/>
        <w:rPr>
          <w:rFonts w:ascii="仿宋_GB2312" w:eastAsia="仿宋_GB2312"/>
          <w:sz w:val="32"/>
          <w:szCs w:val="32"/>
        </w:rPr>
      </w:pPr>
      <w:r>
        <w:rPr>
          <w:rFonts w:ascii="仿宋_GB2312" w:eastAsia="仿宋_GB2312" w:hint="eastAsia"/>
          <w:sz w:val="32"/>
          <w:szCs w:val="32"/>
        </w:rPr>
        <w:t>竞买人名称：</w:t>
      </w:r>
      <w:r>
        <w:rPr>
          <w:rFonts w:ascii="仿宋_GB2312" w:eastAsia="仿宋_GB2312" w:hint="eastAsia"/>
          <w:sz w:val="32"/>
          <w:szCs w:val="32"/>
          <w:u w:val="single"/>
        </w:rPr>
        <w:t xml:space="preserve">                          </w:t>
      </w:r>
      <w:r>
        <w:rPr>
          <w:rFonts w:ascii="仿宋_GB2312" w:eastAsia="仿宋_GB2312" w:hint="eastAsia"/>
          <w:sz w:val="32"/>
          <w:szCs w:val="32"/>
        </w:rPr>
        <w:t>（盖公章）</w:t>
      </w:r>
    </w:p>
    <w:p w14:paraId="33764359">
      <w:pPr>
        <w:pStyle w:val="style0"/>
        <w:ind w:firstLine="1200"/>
        <w:rPr>
          <w:rFonts w:ascii="仿宋_GB2312" w:eastAsia="仿宋_GB2312"/>
          <w:sz w:val="32"/>
          <w:szCs w:val="32"/>
        </w:rPr>
      </w:pPr>
    </w:p>
    <w:p w14:paraId="7B1AC039">
      <w:pPr>
        <w:pStyle w:val="style0"/>
        <w:ind w:firstLine="1550"/>
        <w:rPr>
          <w:rFonts w:ascii="仿宋_GB2312" w:eastAsia="仿宋_GB2312"/>
          <w:sz w:val="32"/>
          <w:szCs w:val="32"/>
        </w:rPr>
      </w:pPr>
      <w:r>
        <w:rPr>
          <w:rFonts w:ascii="仿宋_GB2312" w:cs="仿宋_GB2312" w:eastAsia="仿宋_GB2312" w:hAnsi="仿宋_GB2312" w:hint="eastAsia"/>
          <w:sz w:val="32"/>
          <w:szCs w:val="32"/>
        </w:rPr>
        <w:t xml:space="preserve">年   月   </w:t>
      </w:r>
      <w:r>
        <w:rPr>
          <w:rFonts w:ascii="仿宋_GB2312" w:eastAsia="仿宋_GB2312" w:hint="eastAsia"/>
          <w:sz w:val="32"/>
          <w:szCs w:val="32"/>
        </w:rPr>
        <w:t xml:space="preserve">日 </w:t>
      </w:r>
    </w:p>
    <w:p w14:paraId="0261DD1C">
      <w:pPr>
        <w:pStyle w:val="style0"/>
        <w:spacing w:after="240" w:lineRule="exact" w:line="520"/>
        <w:rPr>
          <w:rFonts w:ascii="华文中宋" w:eastAsia="华文中宋" w:hAnsi="华文中宋" w:hint="eastAsia"/>
          <w:b/>
          <w:sz w:val="44"/>
          <w:szCs w:val="44"/>
        </w:rPr>
      </w:pPr>
      <w:r>
        <w:br w:type="page"/>
      </w:r>
      <w:r>
        <w:rPr>
          <w:rFonts w:ascii="仿宋_GB2312" w:eastAsia="仿宋_GB2312" w:hint="eastAsia"/>
          <w:sz w:val="32"/>
          <w:szCs w:val="32"/>
        </w:rPr>
        <w:t>附件二：</w:t>
      </w:r>
    </w:p>
    <w:p w14:paraId="00ACE97E">
      <w:pPr>
        <w:pStyle w:val="style0"/>
        <w:jc w:val="center"/>
        <w:outlineLvl w:val="1"/>
        <w:rPr>
          <w:rFonts w:eastAsia="华文中宋"/>
          <w:b/>
          <w:spacing w:val="40"/>
          <w:sz w:val="44"/>
          <w:szCs w:val="44"/>
        </w:rPr>
      </w:pPr>
      <w:r>
        <w:rPr>
          <w:rFonts w:eastAsia="华文中宋" w:hAnsi="华文中宋" w:hint="eastAsia"/>
          <w:b/>
          <w:spacing w:val="40"/>
          <w:sz w:val="44"/>
          <w:szCs w:val="44"/>
        </w:rPr>
        <w:t>授权委托书</w:t>
      </w:r>
    </w:p>
    <w:p w14:paraId="7B8A97E2">
      <w:pPr>
        <w:pStyle w:val="style0"/>
        <w:rPr>
          <w:rFonts w:eastAsia="仿宋_GB2312"/>
          <w:sz w:val="32"/>
          <w:szCs w:val="32"/>
        </w:rPr>
      </w:pPr>
    </w:p>
    <w:p w14:paraId="6269E051">
      <w:pPr>
        <w:pStyle w:val="style0"/>
        <w:ind w:firstLine="640" w:firstLineChars="200"/>
        <w:rPr>
          <w:rFonts w:ascii="仿宋_GB2312" w:eastAsia="仿宋_GB2312"/>
          <w:sz w:val="32"/>
          <w:szCs w:val="32"/>
        </w:rPr>
      </w:pPr>
      <w:r>
        <w:rPr>
          <w:rFonts w:ascii="仿宋_GB2312" w:eastAsia="仿宋_GB2312" w:hint="eastAsia"/>
          <w:sz w:val="32"/>
          <w:szCs w:val="32"/>
        </w:rPr>
        <w:t>本授权委托书声明：</w:t>
      </w:r>
      <w:r>
        <w:rPr>
          <w:rFonts w:ascii="仿宋_GB2312" w:eastAsia="仿宋_GB2312" w:hint="eastAsia"/>
          <w:sz w:val="32"/>
          <w:szCs w:val="32"/>
          <w:u w:val="single"/>
        </w:rPr>
        <w:t xml:space="preserve">      </w:t>
      </w:r>
      <w:r>
        <w:rPr>
          <w:rFonts w:ascii="仿宋_GB2312" w:eastAsia="仿宋_GB2312" w:hint="eastAsia"/>
          <w:sz w:val="32"/>
          <w:szCs w:val="32"/>
        </w:rPr>
        <w:t>系</w:t>
      </w:r>
      <w:r>
        <w:rPr>
          <w:rFonts w:ascii="仿宋_GB2312" w:eastAsia="仿宋_GB2312" w:hint="eastAsia"/>
          <w:sz w:val="32"/>
          <w:szCs w:val="32"/>
          <w:u w:val="single"/>
        </w:rPr>
        <w:t xml:space="preserve">                    </w:t>
      </w:r>
      <w:r>
        <w:rPr>
          <w:rFonts w:ascii="仿宋_GB2312" w:eastAsia="仿宋_GB2312" w:hint="eastAsia"/>
          <w:sz w:val="32"/>
          <w:szCs w:val="32"/>
        </w:rPr>
        <w:t>（竞买单位）法定代表人，现授权委托</w:t>
      </w:r>
      <w:r>
        <w:rPr>
          <w:rFonts w:ascii="仿宋_GB2312" w:eastAsia="仿宋_GB2312" w:hint="eastAsia"/>
          <w:sz w:val="32"/>
          <w:szCs w:val="32"/>
          <w:u w:val="single"/>
        </w:rPr>
        <w:t xml:space="preserve">      </w:t>
      </w:r>
      <w:r>
        <w:rPr>
          <w:rFonts w:ascii="仿宋_GB2312" w:eastAsia="仿宋_GB2312" w:hint="eastAsia"/>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pStyle w:val="style0"/>
        <w:ind w:firstLine="640" w:firstLineChars="200"/>
        <w:rPr>
          <w:rFonts w:ascii="仿宋_GB2312" w:eastAsia="仿宋_GB2312"/>
          <w:sz w:val="32"/>
          <w:szCs w:val="32"/>
        </w:rPr>
      </w:pPr>
      <w:r>
        <w:rPr>
          <w:rFonts w:ascii="仿宋_GB2312" w:eastAsia="仿宋_GB2312" w:hint="eastAsia"/>
          <w:sz w:val="32"/>
          <w:szCs w:val="32"/>
        </w:rPr>
        <w:t>代理人无转委托权，特此委托。</w:t>
      </w:r>
    </w:p>
    <w:p w14:paraId="30C94CC2">
      <w:pPr>
        <w:pStyle w:val="style0"/>
        <w:ind w:firstLine="640" w:firstLineChars="200"/>
        <w:rPr>
          <w:rFonts w:ascii="仿宋_GB2312" w:eastAsia="仿宋_GB2312"/>
          <w:sz w:val="32"/>
          <w:szCs w:val="32"/>
        </w:rPr>
      </w:pPr>
      <w:r>
        <w:rPr>
          <w:rFonts w:ascii="仿宋_GB2312" w:eastAsia="仿宋_GB2312" w:hint="eastAsia"/>
          <w:sz w:val="32"/>
          <w:szCs w:val="32"/>
        </w:rPr>
        <w:t>附：法定代表人身份证明</w:t>
      </w:r>
    </w:p>
    <w:p w14:paraId="35E9ED60">
      <w:pPr>
        <w:pStyle w:val="style0"/>
        <w:ind w:firstLine="640" w:firstLineChars="200"/>
        <w:rPr>
          <w:rFonts w:ascii="仿宋_GB2312" w:eastAsia="仿宋_GB2312"/>
          <w:sz w:val="32"/>
          <w:szCs w:val="32"/>
        </w:rPr>
      </w:pPr>
      <w:r>
        <w:rPr>
          <w:rFonts w:ascii="仿宋_GB2312" w:eastAsia="仿宋_GB2312" w:hint="eastAsia"/>
          <w:sz w:val="32"/>
          <w:szCs w:val="32"/>
        </w:rPr>
        <w:t>有效期：自签署之日起至202</w:t>
      </w:r>
      <w:r>
        <w:rPr>
          <w:rFonts w:ascii="仿宋_GB2312" w:eastAsia="仿宋_GB2312" w:hint="default"/>
          <w:sz w:val="32"/>
          <w:szCs w:val="32"/>
          <w:lang w:val="en-US"/>
        </w:rPr>
        <w:t>6</w:t>
      </w:r>
      <w:r>
        <w:rPr>
          <w:rFonts w:ascii="仿宋_GB2312" w:eastAsia="仿宋_GB2312" w:hint="eastAsia"/>
          <w:sz w:val="32"/>
          <w:szCs w:val="32"/>
        </w:rPr>
        <w:t>年12月31止。</w:t>
      </w:r>
    </w:p>
    <w:p w14:paraId="121E855F">
      <w:pPr>
        <w:pStyle w:val="style0"/>
        <w:spacing w:lineRule="auto" w:line="360"/>
        <w:ind w:firstLine="640" w:firstLineChars="200"/>
        <w:rPr>
          <w:rFonts w:ascii="仿宋_GB2312" w:eastAsia="仿宋_GB2312" w:hint="eastAsia"/>
          <w:sz w:val="32"/>
          <w:szCs w:val="32"/>
        </w:rPr>
      </w:pPr>
    </w:p>
    <w:p w14:paraId="19019ED9">
      <w:pPr>
        <w:pStyle w:val="style0"/>
        <w:spacing w:lineRule="auto" w:line="360"/>
        <w:ind w:firstLine="640" w:firstLineChars="200"/>
        <w:rPr>
          <w:rFonts w:ascii="仿宋_GB2312" w:eastAsia="仿宋_GB2312" w:hint="eastAsia"/>
          <w:sz w:val="32"/>
          <w:szCs w:val="32"/>
        </w:rPr>
      </w:pPr>
    </w:p>
    <w:p w14:paraId="4145B264">
      <w:pPr>
        <w:pStyle w:val="style0"/>
        <w:spacing w:lineRule="auto" w:line="360"/>
        <w:ind w:firstLine="640" w:firstLineChars="200"/>
        <w:rPr>
          <w:rFonts w:ascii="仿宋_GB2312" w:eastAsia="仿宋_GB2312"/>
          <w:sz w:val="32"/>
          <w:szCs w:val="32"/>
        </w:rPr>
      </w:pPr>
      <w:r>
        <w:rPr>
          <w:rFonts w:ascii="仿宋_GB2312" w:eastAsia="仿宋_GB2312" w:hint="eastAsia"/>
          <w:sz w:val="32"/>
          <w:szCs w:val="32"/>
        </w:rPr>
        <w:t>竞买人：</w:t>
      </w:r>
      <w:r>
        <w:rPr>
          <w:rFonts w:ascii="仿宋_GB2312" w:eastAsia="仿宋_GB2312" w:hint="eastAsia"/>
          <w:sz w:val="32"/>
          <w:szCs w:val="32"/>
          <w:u w:val="single"/>
        </w:rPr>
        <w:t xml:space="preserve">                         </w:t>
      </w:r>
      <w:r>
        <w:rPr>
          <w:rFonts w:ascii="仿宋_GB2312" w:eastAsia="仿宋_GB2312" w:hint="eastAsia"/>
          <w:sz w:val="32"/>
          <w:szCs w:val="32"/>
        </w:rPr>
        <w:t>（盖公章）</w:t>
      </w:r>
    </w:p>
    <w:p w14:paraId="32EF22DE">
      <w:pPr>
        <w:pStyle w:val="style0"/>
        <w:spacing w:lineRule="auto" w:line="360"/>
        <w:ind w:firstLine="640" w:firstLineChars="200"/>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u w:val="single"/>
        </w:rPr>
        <w:t xml:space="preserve">             </w:t>
      </w:r>
      <w:r>
        <w:rPr>
          <w:rFonts w:ascii="仿宋_GB2312" w:eastAsia="仿宋_GB2312" w:hint="eastAsia"/>
          <w:sz w:val="32"/>
          <w:szCs w:val="32"/>
        </w:rPr>
        <w:t>（盖章或签字）</w:t>
      </w:r>
    </w:p>
    <w:p w14:paraId="2CE43871">
      <w:pPr>
        <w:pStyle w:val="style0"/>
        <w:spacing w:lineRule="auto" w:line="360"/>
        <w:ind w:firstLine="640" w:firstLineChars="200"/>
        <w:rPr>
          <w:rFonts w:ascii="仿宋_GB2312" w:eastAsia="仿宋_GB2312"/>
          <w:sz w:val="32"/>
          <w:szCs w:val="32"/>
        </w:rPr>
      </w:pPr>
      <w:r>
        <w:rPr>
          <w:rFonts w:ascii="仿宋_GB2312" w:eastAsia="仿宋_GB2312" w:hint="eastAsia"/>
          <w:sz w:val="32"/>
          <w:szCs w:val="32"/>
        </w:rPr>
        <w:t>委托代理人：</w:t>
      </w:r>
      <w:r>
        <w:rPr>
          <w:rFonts w:ascii="仿宋_GB2312" w:eastAsia="仿宋_GB2312" w:hint="eastAsia"/>
          <w:sz w:val="32"/>
          <w:szCs w:val="32"/>
          <w:u w:val="single"/>
        </w:rPr>
        <w:t xml:space="preserve">                </w:t>
      </w:r>
      <w:r>
        <w:rPr>
          <w:rFonts w:ascii="仿宋_GB2312" w:eastAsia="仿宋_GB2312" w:hint="eastAsia"/>
          <w:sz w:val="32"/>
          <w:szCs w:val="32"/>
        </w:rPr>
        <w:t xml:space="preserve">（签字） </w:t>
      </w:r>
    </w:p>
    <w:p w14:paraId="2B48CEBF">
      <w:pPr>
        <w:pStyle w:val="style0"/>
        <w:rPr>
          <w:sz w:val="28"/>
          <w:szCs w:val="28"/>
        </w:rPr>
      </w:pPr>
    </w:p>
    <w:p w14:paraId="1C3A412C">
      <w:pPr>
        <w:pStyle w:val="style0"/>
        <w:ind w:firstLine="450"/>
        <w:rPr>
          <w:sz w:val="28"/>
          <w:szCs w:val="28"/>
        </w:rPr>
      </w:pPr>
      <w:r>
        <w:rPr>
          <w:rFonts w:hint="eastAsia"/>
          <w:sz w:val="28"/>
          <w:szCs w:val="28"/>
        </w:rPr>
        <w:t xml:space="preserve">                                    </w:t>
      </w:r>
      <w:r>
        <w:rPr>
          <w:rFonts w:ascii="仿宋_GB2312" w:eastAsia="仿宋_GB2312" w:hint="eastAsia"/>
          <w:sz w:val="32"/>
          <w:szCs w:val="32"/>
        </w:rPr>
        <w:t>年    月    日</w:t>
      </w:r>
    </w:p>
    <w:p w14:paraId="0E89EF9B">
      <w:pPr>
        <w:pStyle w:val="style0"/>
        <w:ind w:firstLine="450"/>
        <w:rPr>
          <w:sz w:val="28"/>
          <w:szCs w:val="28"/>
        </w:rPr>
      </w:pPr>
    </w:p>
    <w:p w14:paraId="21D15E0A">
      <w:pPr>
        <w:pStyle w:val="style0"/>
        <w:rPr>
          <w:rFonts w:ascii="仿宋_GB2312" w:eastAsia="仿宋_GB2312"/>
          <w:sz w:val="28"/>
          <w:szCs w:val="28"/>
        </w:rPr>
      </w:pPr>
      <w:r>
        <w:br w:type="page"/>
      </w:r>
      <w:r>
        <w:rPr>
          <w:rFonts w:ascii="仿宋_GB2312" w:eastAsia="仿宋_GB2312" w:hint="eastAsia"/>
          <w:sz w:val="28"/>
          <w:szCs w:val="28"/>
        </w:rPr>
        <w:t>附件三：</w:t>
      </w:r>
    </w:p>
    <w:p w14:paraId="76E12A1F">
      <w:pPr>
        <w:pStyle w:val="style0"/>
        <w:spacing w:lineRule="exact" w:line="520"/>
        <w:jc w:val="center"/>
        <w:rPr>
          <w:rFonts w:ascii="华文中宋" w:eastAsia="华文中宋" w:hAnsi="华文中宋" w:hint="eastAsia"/>
          <w:b/>
          <w:sz w:val="44"/>
          <w:szCs w:val="44"/>
        </w:rPr>
      </w:pPr>
      <w:r>
        <w:rPr>
          <w:rFonts w:ascii="华文中宋" w:eastAsia="华文中宋" w:hAnsi="华文中宋" w:hint="eastAsia"/>
          <w:b/>
          <w:sz w:val="44"/>
          <w:szCs w:val="44"/>
        </w:rPr>
        <w:t>竞买申请书（公司）</w:t>
      </w:r>
    </w:p>
    <w:p w14:paraId="7936CA47">
      <w:pPr>
        <w:pStyle w:val="style0"/>
        <w:spacing w:lineRule="exact" w:line="520"/>
        <w:rPr>
          <w:rFonts w:ascii="楷体_GB2312" w:eastAsia="楷体_GB2312"/>
          <w:b/>
          <w:sz w:val="32"/>
          <w:szCs w:val="32"/>
        </w:rPr>
      </w:pPr>
      <w:r>
        <w:rPr>
          <w:rFonts w:ascii="楷体_GB2312" w:eastAsia="楷体_GB2312" w:hint="eastAsia"/>
          <w:b/>
          <w:sz w:val="32"/>
          <w:szCs w:val="32"/>
        </w:rPr>
        <w:t>中信钛业股份有限公司：</w:t>
      </w:r>
    </w:p>
    <w:p w14:paraId="234B6E4B">
      <w:pPr>
        <w:pStyle w:val="style0"/>
        <w:spacing w:lineRule="exact" w:line="520"/>
        <w:ind w:firstLine="560" w:firstLineChars="200"/>
        <w:rPr>
          <w:rFonts w:ascii="仿宋_GB2312" w:eastAsia="仿宋_GB2312"/>
          <w:sz w:val="28"/>
          <w:szCs w:val="28"/>
        </w:rPr>
      </w:pPr>
      <w:r>
        <w:rPr>
          <w:rFonts w:ascii="仿宋_GB2312" w:eastAsia="仿宋_GB2312" w:hint="eastAsia"/>
          <w:sz w:val="28"/>
          <w:szCs w:val="28"/>
        </w:rPr>
        <w:t>经审阅贵公司《废旧物资竞价出售公告》及《废旧物资竞价出售文</w:t>
      </w:r>
      <w:r>
        <w:rPr>
          <w:rFonts w:ascii="仿宋_GB2312" w:eastAsia="仿宋_GB2312" w:hAnsi="宋体" w:hint="eastAsia"/>
          <w:sz w:val="28"/>
          <w:szCs w:val="28"/>
        </w:rPr>
        <w:t>件》</w:t>
      </w:r>
      <w:r>
        <w:rPr>
          <w:rFonts w:ascii="仿宋_GB2312" w:eastAsia="仿宋_GB2312" w:hint="eastAsia"/>
          <w:sz w:val="28"/>
          <w:szCs w:val="28"/>
        </w:rPr>
        <w:t>，并实地踏勘关于本次竞价出售所列标的物资展示现场后，申请人申请参加贵公司关于废旧物资竞价出售</w:t>
      </w:r>
      <w:r>
        <w:rPr>
          <w:rFonts w:ascii="仿宋_GB2312" w:eastAsia="仿宋_GB2312" w:hint="eastAsia"/>
          <w:spacing w:val="-2"/>
          <w:sz w:val="28"/>
          <w:szCs w:val="28"/>
        </w:rPr>
        <w:t>活动并参加竞买。</w:t>
      </w:r>
      <w:r>
        <w:rPr>
          <w:rFonts w:ascii="仿宋_GB2312" w:eastAsia="仿宋_GB2312" w:hint="eastAsia"/>
          <w:sz w:val="28"/>
          <w:szCs w:val="28"/>
        </w:rPr>
        <w:t>在提交本申请书的同时，申请人已按规定向贵公司足额交纳竞买保证金。</w:t>
      </w:r>
    </w:p>
    <w:p w14:paraId="6536693E">
      <w:pPr>
        <w:pStyle w:val="style0"/>
        <w:spacing w:lineRule="exact" w:line="520"/>
        <w:ind w:firstLine="562" w:firstLineChars="200"/>
        <w:rPr>
          <w:rFonts w:ascii="仿宋_GB2312" w:eastAsia="仿宋_GB2312"/>
          <w:sz w:val="28"/>
          <w:szCs w:val="28"/>
        </w:rPr>
      </w:pPr>
      <w:r>
        <w:rPr>
          <w:rFonts w:ascii="仿宋_GB2312" w:eastAsia="仿宋_GB2312" w:hint="eastAsia"/>
          <w:b/>
          <w:sz w:val="28"/>
          <w:szCs w:val="28"/>
        </w:rPr>
        <w:t>申请人声明并承诺：</w:t>
      </w:r>
    </w:p>
    <w:p w14:paraId="10997D62">
      <w:pPr>
        <w:pStyle w:val="style0"/>
        <w:spacing w:lineRule="exact" w:line="520"/>
        <w:ind w:firstLine="560" w:firstLineChars="200"/>
        <w:rPr>
          <w:rFonts w:ascii="仿宋_GB2312" w:eastAsia="仿宋_GB2312"/>
          <w:sz w:val="28"/>
          <w:szCs w:val="28"/>
        </w:rPr>
      </w:pPr>
      <w:r>
        <w:rPr>
          <w:rFonts w:ascii="仿宋_GB2312" w:eastAsia="仿宋_GB2312" w:hint="eastAsia"/>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pStyle w:val="style0"/>
        <w:spacing w:lineRule="exact" w:line="520"/>
        <w:ind w:firstLine="560" w:firstLineChars="20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二</w:t>
      </w:r>
      <w:r>
        <w:rPr>
          <w:rFonts w:ascii="仿宋_GB2312" w:eastAsia="仿宋_GB2312"/>
          <w:sz w:val="28"/>
          <w:szCs w:val="28"/>
        </w:rPr>
        <w:t>）在提交本竞买申请前，</w:t>
      </w:r>
      <w:r>
        <w:rPr>
          <w:rFonts w:ascii="仿宋_GB2312" w:eastAsia="仿宋_GB2312" w:hint="eastAsia"/>
          <w:sz w:val="28"/>
          <w:szCs w:val="28"/>
        </w:rPr>
        <w:t>申请人</w:t>
      </w:r>
      <w:r>
        <w:rPr>
          <w:rFonts w:ascii="仿宋_GB2312" w:eastAsia="仿宋_GB2312"/>
          <w:sz w:val="28"/>
          <w:szCs w:val="28"/>
        </w:rPr>
        <w:t>已</w:t>
      </w:r>
      <w:r>
        <w:rPr>
          <w:rFonts w:ascii="仿宋_GB2312" w:eastAsia="仿宋_GB2312" w:hint="eastAsia"/>
          <w:sz w:val="28"/>
          <w:szCs w:val="28"/>
        </w:rPr>
        <w:t>详细阅读贵公司发布的竞价出售公告及文件内容，并对交易标的物及发布内容无异议；</w:t>
      </w:r>
    </w:p>
    <w:p w14:paraId="75705D5B">
      <w:pPr>
        <w:pStyle w:val="style82"/>
        <w:spacing w:lineRule="exact" w:line="520"/>
        <w:jc w:val="both"/>
        <w:rPr>
          <w:rFonts w:ascii="仿宋_GB2312" w:eastAsia="仿宋_GB2312" w:hint="default"/>
        </w:rPr>
      </w:pPr>
      <w:r>
        <w:rPr>
          <w:rFonts w:ascii="仿宋_GB2312" w:eastAsia="仿宋_GB2312"/>
        </w:rPr>
        <w:t>（三）申请人知道报价一经递交即具法律效力，不可撤回；如撤回则承担违约责任，并全额扣除竞买保证金；</w:t>
      </w:r>
    </w:p>
    <w:p w14:paraId="5814B667">
      <w:pPr>
        <w:pStyle w:val="style0"/>
        <w:spacing w:lineRule="exact" w:line="520"/>
        <w:ind w:firstLine="555"/>
        <w:rPr>
          <w:rFonts w:ascii="仿宋_GB2312" w:eastAsia="仿宋_GB2312"/>
          <w:sz w:val="28"/>
          <w:szCs w:val="28"/>
        </w:rPr>
      </w:pPr>
      <w:r>
        <w:rPr>
          <w:rFonts w:ascii="仿宋_GB2312" w:eastAsia="仿宋_GB2312" w:hint="eastAsia"/>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pStyle w:val="style0"/>
        <w:spacing w:lineRule="exact" w:line="520"/>
        <w:ind w:firstLine="555"/>
        <w:rPr>
          <w:rFonts w:ascii="仿宋_GB2312" w:eastAsia="仿宋_GB2312"/>
          <w:sz w:val="28"/>
          <w:szCs w:val="28"/>
        </w:rPr>
      </w:pPr>
      <w:r>
        <w:rPr>
          <w:rFonts w:ascii="仿宋_GB2312" w:eastAsia="仿宋_GB2312" w:hint="eastAsia"/>
          <w:sz w:val="28"/>
          <w:szCs w:val="28"/>
        </w:rPr>
        <w:t>（五）主办方一经发现串标、围标行为，或参与者间有实质性关联关系，取消竞买资格，中标的取消中标资格，同时扣除保证金。</w:t>
      </w:r>
    </w:p>
    <w:p w14:paraId="4853F45D">
      <w:pPr>
        <w:pStyle w:val="style0"/>
        <w:ind w:firstLine="560" w:firstLineChars="200"/>
        <w:rPr>
          <w:rFonts w:ascii="仿宋_GB2312" w:eastAsia="仿宋_GB2312"/>
          <w:sz w:val="28"/>
          <w:szCs w:val="28"/>
        </w:rPr>
      </w:pPr>
      <w:r>
        <w:rPr>
          <w:rFonts w:ascii="仿宋_GB2312" w:eastAsia="仿宋_GB2312" w:hint="eastAsia"/>
          <w:sz w:val="28"/>
          <w:szCs w:val="28"/>
        </w:rPr>
        <w:t>特此申请并承诺！</w:t>
      </w:r>
    </w:p>
    <w:p w14:paraId="46974B21">
      <w:pPr>
        <w:pStyle w:val="style0"/>
        <w:ind w:firstLine="560" w:firstLineChars="200"/>
        <w:rPr>
          <w:rFonts w:ascii="仿宋_GB2312" w:eastAsia="仿宋_GB2312"/>
          <w:sz w:val="28"/>
          <w:szCs w:val="28"/>
        </w:rPr>
      </w:pPr>
      <w:r>
        <w:rPr>
          <w:rFonts w:ascii="仿宋_GB2312" w:eastAsia="仿宋_GB2312" w:hint="eastAsia"/>
          <w:sz w:val="28"/>
          <w:szCs w:val="28"/>
        </w:rPr>
        <w:t>有效期：自签署之日起至202</w:t>
      </w:r>
      <w:r>
        <w:rPr>
          <w:rFonts w:ascii="仿宋_GB2312" w:eastAsia="仿宋_GB2312" w:hint="default"/>
          <w:sz w:val="28"/>
          <w:szCs w:val="28"/>
          <w:lang w:val="en-US"/>
        </w:rPr>
        <w:t>6</w:t>
      </w:r>
      <w:r>
        <w:rPr>
          <w:rFonts w:ascii="仿宋_GB2312" w:eastAsia="仿宋_GB2312" w:hint="eastAsia"/>
          <w:sz w:val="28"/>
          <w:szCs w:val="28"/>
        </w:rPr>
        <w:t>年12月31止。</w:t>
      </w:r>
    </w:p>
    <w:p w14:paraId="1B75BBB3">
      <w:pPr>
        <w:pStyle w:val="style0"/>
        <w:spacing w:lineRule="exact" w:line="460"/>
        <w:ind w:firstLine="560" w:firstLineChars="200"/>
        <w:rPr>
          <w:rFonts w:ascii="仿宋_GB2312" w:eastAsia="仿宋_GB2312"/>
          <w:sz w:val="28"/>
          <w:szCs w:val="28"/>
        </w:rPr>
      </w:pPr>
      <w:r>
        <w:rPr>
          <w:rFonts w:ascii="仿宋_GB2312" w:eastAsia="仿宋_GB2312" w:hint="eastAsia"/>
          <w:sz w:val="28"/>
          <w:szCs w:val="28"/>
        </w:rPr>
        <w:t>竞买申请人：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p>
    <w:p w14:paraId="612B0E4B">
      <w:pPr>
        <w:pStyle w:val="style0"/>
        <w:spacing w:lineRule="exact" w:line="460"/>
        <w:ind w:firstLine="560" w:firstLineChars="200"/>
        <w:rPr>
          <w:rFonts w:ascii="仿宋_GB2312" w:eastAsia="仿宋_GB2312"/>
          <w:sz w:val="28"/>
          <w:szCs w:val="28"/>
          <w:u w:val="single"/>
        </w:rPr>
      </w:pPr>
      <w:r>
        <w:rPr>
          <w:rFonts w:ascii="仿宋_GB2312" w:eastAsia="仿宋_GB2312" w:hint="eastAsia"/>
          <w:sz w:val="28"/>
          <w:szCs w:val="28"/>
        </w:rPr>
        <w:t>法定代表人或委托代理人：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（盖章或签字）</w:t>
      </w:r>
    </w:p>
    <w:p w14:paraId="03C129DE">
      <w:pPr>
        <w:pStyle w:val="style0"/>
        <w:spacing w:lineRule="exact" w:line="460"/>
        <w:ind w:firstLine="560" w:firstLineChars="200"/>
        <w:rPr>
          <w:rFonts w:ascii="仿宋_GB2312" w:eastAsia="仿宋_GB2312"/>
          <w:sz w:val="28"/>
          <w:szCs w:val="28"/>
          <w:u w:val="single"/>
        </w:rPr>
      </w:pPr>
      <w:r>
        <w:rPr>
          <w:rFonts w:ascii="仿宋_GB2312" w:eastAsia="仿宋_GB2312" w:hint="eastAsia"/>
          <w:sz w:val="28"/>
          <w:szCs w:val="28"/>
        </w:rPr>
        <w:t>电话：</w:t>
      </w:r>
      <w:r>
        <w:rPr>
          <w:rFonts w:ascii="仿宋_GB2312" w:eastAsia="仿宋_GB2312" w:hint="eastAsia"/>
          <w:sz w:val="28"/>
          <w:szCs w:val="28"/>
          <w:u w:val="single"/>
        </w:rPr>
        <w:t xml:space="preserve">                        </w:t>
      </w:r>
      <w:r>
        <w:rPr>
          <w:rFonts w:ascii="仿宋_GB2312" w:eastAsia="仿宋_GB2312" w:hint="eastAsia"/>
          <w:sz w:val="28"/>
          <w:szCs w:val="28"/>
        </w:rPr>
        <w:t xml:space="preserve"> 日期：</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p>
    <w:p w14:paraId="573DD62D">
      <w:pPr>
        <w:pStyle w:val="style0"/>
        <w:spacing w:lineRule="exact" w:line="520"/>
        <w:jc w:val="center"/>
        <w:rPr>
          <w:rFonts w:ascii="华文中宋" w:eastAsia="华文中宋" w:hAnsi="华文中宋" w:hint="eastAsia"/>
          <w:b/>
          <w:sz w:val="44"/>
          <w:szCs w:val="44"/>
        </w:rPr>
      </w:pPr>
      <w:r>
        <w:br w:type="page"/>
      </w:r>
      <w:r>
        <w:rPr>
          <w:rFonts w:ascii="华文中宋" w:eastAsia="华文中宋" w:hAnsi="华文中宋" w:hint="eastAsia"/>
          <w:b/>
          <w:sz w:val="44"/>
          <w:szCs w:val="44"/>
        </w:rPr>
        <w:t>竞买申请书（个人）</w:t>
      </w:r>
    </w:p>
    <w:p w14:paraId="441D2DAD">
      <w:pPr>
        <w:pStyle w:val="style0"/>
        <w:spacing w:lineRule="exact" w:line="520"/>
        <w:rPr>
          <w:rFonts w:ascii="楷体_GB2312" w:eastAsia="楷体_GB2312"/>
          <w:b/>
          <w:sz w:val="32"/>
          <w:szCs w:val="32"/>
        </w:rPr>
      </w:pPr>
      <w:r>
        <w:rPr>
          <w:rFonts w:ascii="楷体_GB2312" w:eastAsia="楷体_GB2312" w:hint="eastAsia"/>
          <w:b/>
          <w:sz w:val="32"/>
          <w:szCs w:val="32"/>
        </w:rPr>
        <w:t>中信钛业股份有限公司：</w:t>
      </w:r>
    </w:p>
    <w:p w14:paraId="4EDDBF93">
      <w:pPr>
        <w:pStyle w:val="style0"/>
        <w:spacing w:lineRule="exact" w:line="520"/>
        <w:ind w:firstLine="546" w:firstLineChars="195"/>
        <w:rPr>
          <w:rFonts w:ascii="仿宋_GB2312" w:eastAsia="仿宋_GB2312"/>
          <w:sz w:val="28"/>
          <w:szCs w:val="28"/>
        </w:rPr>
      </w:pPr>
      <w:r>
        <w:rPr>
          <w:rFonts w:ascii="仿宋_GB2312" w:eastAsia="仿宋_GB2312" w:hint="eastAsia"/>
          <w:sz w:val="28"/>
          <w:szCs w:val="28"/>
        </w:rPr>
        <w:t>经审阅贵公司《废旧物资竞价出售公告》及《废旧物资竞价出售文</w:t>
      </w:r>
      <w:r>
        <w:rPr>
          <w:rFonts w:ascii="仿宋_GB2312" w:eastAsia="仿宋_GB2312" w:hAnsi="宋体" w:hint="eastAsia"/>
          <w:sz w:val="28"/>
          <w:szCs w:val="28"/>
        </w:rPr>
        <w:t>件》</w:t>
      </w:r>
      <w:r>
        <w:rPr>
          <w:rFonts w:ascii="仿宋_GB2312" w:eastAsia="仿宋_GB2312" w:hint="eastAsia"/>
          <w:sz w:val="28"/>
          <w:szCs w:val="28"/>
        </w:rPr>
        <w:t>，并实地踏勘关于本次竞价出售所列标的物资展示现场后，申请人申请参加贵公司关于废旧物资竞价出售</w:t>
      </w:r>
      <w:r>
        <w:rPr>
          <w:rFonts w:ascii="仿宋_GB2312" w:eastAsia="仿宋_GB2312" w:hint="eastAsia"/>
          <w:spacing w:val="-2"/>
          <w:sz w:val="28"/>
          <w:szCs w:val="28"/>
        </w:rPr>
        <w:t>活动并参加竞买。</w:t>
      </w:r>
      <w:r>
        <w:rPr>
          <w:rFonts w:ascii="仿宋_GB2312" w:eastAsia="仿宋_GB2312" w:hint="eastAsia"/>
          <w:sz w:val="28"/>
          <w:szCs w:val="28"/>
        </w:rPr>
        <w:t>在提交本申请书的同时，申请人已在按规定向贵公司足额交纳竞买保证金。</w:t>
      </w:r>
    </w:p>
    <w:p w14:paraId="232B85B7">
      <w:pPr>
        <w:pStyle w:val="style0"/>
        <w:spacing w:lineRule="exact" w:line="520"/>
        <w:ind w:firstLine="548" w:firstLineChars="195"/>
        <w:rPr>
          <w:rFonts w:ascii="仿宋_GB2312" w:eastAsia="仿宋_GB2312"/>
          <w:sz w:val="28"/>
          <w:szCs w:val="28"/>
        </w:rPr>
      </w:pPr>
      <w:r>
        <w:rPr>
          <w:rFonts w:ascii="仿宋_GB2312" w:eastAsia="仿宋_GB2312" w:hint="eastAsia"/>
          <w:b/>
          <w:sz w:val="28"/>
          <w:szCs w:val="28"/>
        </w:rPr>
        <w:t>申请人声明并承诺：</w:t>
      </w:r>
    </w:p>
    <w:p w14:paraId="74C386D7">
      <w:pPr>
        <w:pStyle w:val="style0"/>
        <w:spacing w:lineRule="exact" w:line="520"/>
        <w:ind w:firstLine="546" w:firstLineChars="195"/>
        <w:rPr>
          <w:rFonts w:ascii="仿宋_GB2312" w:eastAsia="仿宋_GB2312"/>
          <w:sz w:val="28"/>
          <w:szCs w:val="28"/>
        </w:rPr>
      </w:pPr>
      <w:r>
        <w:rPr>
          <w:rFonts w:ascii="仿宋_GB2312" w:eastAsia="仿宋_GB2312" w:hint="eastAsia"/>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pStyle w:val="style0"/>
        <w:spacing w:lineRule="exact" w:line="520"/>
        <w:ind w:firstLine="546" w:firstLineChars="195"/>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二</w:t>
      </w:r>
      <w:r>
        <w:rPr>
          <w:rFonts w:ascii="仿宋_GB2312" w:eastAsia="仿宋_GB2312"/>
          <w:sz w:val="28"/>
          <w:szCs w:val="28"/>
        </w:rPr>
        <w:t>）在提交本竞买申请前，</w:t>
      </w:r>
      <w:r>
        <w:rPr>
          <w:rFonts w:ascii="仿宋_GB2312" w:eastAsia="仿宋_GB2312" w:hint="eastAsia"/>
          <w:sz w:val="28"/>
          <w:szCs w:val="28"/>
        </w:rPr>
        <w:t>申请人</w:t>
      </w:r>
      <w:r>
        <w:rPr>
          <w:rFonts w:ascii="仿宋_GB2312" w:eastAsia="仿宋_GB2312"/>
          <w:sz w:val="28"/>
          <w:szCs w:val="28"/>
        </w:rPr>
        <w:t>已</w:t>
      </w:r>
      <w:r>
        <w:rPr>
          <w:rFonts w:ascii="仿宋_GB2312" w:eastAsia="仿宋_GB2312" w:hint="eastAsia"/>
          <w:sz w:val="28"/>
          <w:szCs w:val="28"/>
        </w:rPr>
        <w:t>详细阅读贵公司发布的竞价出售公告及文件内容，并对交易标的物及发布内容无异议；</w:t>
      </w:r>
    </w:p>
    <w:p w14:paraId="12737A96">
      <w:pPr>
        <w:pStyle w:val="style82"/>
        <w:spacing w:lineRule="exact" w:line="520"/>
        <w:jc w:val="both"/>
        <w:rPr>
          <w:rFonts w:ascii="仿宋_GB2312" w:eastAsia="仿宋_GB2312" w:hint="default"/>
        </w:rPr>
      </w:pPr>
      <w:r>
        <w:rPr>
          <w:rFonts w:ascii="仿宋_GB2312" w:eastAsia="仿宋_GB2312"/>
        </w:rPr>
        <w:t>（三）申请人知道报价一经递交即具法律效力，不可撤回；如撤回则承担违约责任，并全额扣除竞买保证金；</w:t>
      </w:r>
    </w:p>
    <w:p w14:paraId="0D9BDC8C">
      <w:pPr>
        <w:pStyle w:val="style0"/>
        <w:spacing w:lineRule="exact" w:line="520"/>
        <w:ind w:firstLine="555"/>
        <w:rPr>
          <w:rFonts w:ascii="仿宋_GB2312" w:eastAsia="仿宋_GB2312"/>
          <w:sz w:val="28"/>
          <w:szCs w:val="28"/>
        </w:rPr>
      </w:pPr>
      <w:r>
        <w:rPr>
          <w:rFonts w:ascii="仿宋_GB2312" w:eastAsia="仿宋_GB2312" w:hint="eastAsia"/>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pStyle w:val="style0"/>
        <w:spacing w:lineRule="exact" w:line="520"/>
        <w:ind w:firstLine="555"/>
        <w:rPr>
          <w:rFonts w:ascii="仿宋_GB2312" w:eastAsia="仿宋_GB2312"/>
          <w:sz w:val="28"/>
          <w:szCs w:val="28"/>
        </w:rPr>
      </w:pPr>
      <w:r>
        <w:rPr>
          <w:rFonts w:ascii="仿宋_GB2312" w:eastAsia="仿宋_GB2312" w:hint="eastAsia"/>
          <w:sz w:val="28"/>
          <w:szCs w:val="28"/>
        </w:rPr>
        <w:t>（五）主办方一经发现串标、围标行为，或参与者间有实质性关联关系，取消竞买资格，中标的取消中标资格，同时扣除保证金。</w:t>
      </w:r>
    </w:p>
    <w:p w14:paraId="27C3DCA1">
      <w:pPr>
        <w:pStyle w:val="style0"/>
        <w:spacing w:lineRule="exact" w:line="560"/>
        <w:ind w:firstLine="560" w:firstLineChars="200"/>
        <w:rPr>
          <w:rFonts w:ascii="仿宋_GB2312" w:eastAsia="仿宋_GB2312"/>
          <w:sz w:val="28"/>
          <w:szCs w:val="28"/>
        </w:rPr>
      </w:pPr>
      <w:r>
        <w:rPr>
          <w:rFonts w:ascii="仿宋_GB2312" w:eastAsia="仿宋_GB2312" w:hint="eastAsia"/>
          <w:sz w:val="28"/>
          <w:szCs w:val="28"/>
        </w:rPr>
        <w:t>特此申请并承诺！</w:t>
      </w:r>
    </w:p>
    <w:p w14:paraId="04566713">
      <w:pPr>
        <w:pStyle w:val="style0"/>
        <w:spacing w:lineRule="exact" w:line="560"/>
        <w:ind w:firstLine="560" w:firstLineChars="200"/>
        <w:rPr>
          <w:rFonts w:ascii="仿宋_GB2312" w:eastAsia="仿宋_GB2312"/>
          <w:sz w:val="28"/>
          <w:szCs w:val="28"/>
        </w:rPr>
      </w:pPr>
      <w:r>
        <w:rPr>
          <w:rFonts w:ascii="仿宋_GB2312" w:eastAsia="仿宋_GB2312" w:hint="eastAsia"/>
          <w:sz w:val="28"/>
          <w:szCs w:val="28"/>
        </w:rPr>
        <w:t>有效期：自签署之日起至202</w:t>
      </w:r>
      <w:r>
        <w:rPr>
          <w:rFonts w:ascii="仿宋_GB2312" w:eastAsia="仿宋_GB2312" w:hint="default"/>
          <w:sz w:val="28"/>
          <w:szCs w:val="28"/>
          <w:lang w:val="en-US"/>
        </w:rPr>
        <w:t>6</w:t>
      </w:r>
      <w:r>
        <w:rPr>
          <w:rFonts w:ascii="仿宋_GB2312" w:eastAsia="仿宋_GB2312" w:hint="eastAsia"/>
          <w:sz w:val="28"/>
          <w:szCs w:val="28"/>
        </w:rPr>
        <w:t>年12月31止。</w:t>
      </w:r>
    </w:p>
    <w:p w14:paraId="32D43F9F">
      <w:pPr>
        <w:pStyle w:val="style0"/>
        <w:spacing w:before="360" w:lineRule="exact" w:line="460"/>
        <w:ind w:firstLine="560" w:firstLineChars="200"/>
        <w:rPr>
          <w:rFonts w:ascii="仿宋_GB2312" w:eastAsia="仿宋_GB2312"/>
          <w:sz w:val="28"/>
          <w:szCs w:val="28"/>
        </w:rPr>
      </w:pPr>
      <w:r>
        <w:rPr>
          <w:rFonts w:ascii="仿宋_GB2312" w:eastAsia="仿宋_GB2312" w:hint="eastAsia"/>
          <w:sz w:val="28"/>
          <w:szCs w:val="28"/>
        </w:rPr>
        <w:t>竞买申请人：</w:t>
      </w:r>
      <w:r>
        <w:rPr>
          <w:rFonts w:ascii="仿宋_GB2312" w:eastAsia="仿宋_GB2312" w:hint="eastAsia"/>
          <w:sz w:val="28"/>
          <w:szCs w:val="28"/>
          <w:u w:val="single"/>
        </w:rPr>
        <w:t xml:space="preserve">                              </w:t>
      </w:r>
    </w:p>
    <w:p w14:paraId="309088A4">
      <w:pPr>
        <w:pStyle w:val="style0"/>
        <w:rPr>
          <w:rFonts w:ascii="仿宋_GB2312" w:eastAsia="仿宋_GB2312"/>
          <w:sz w:val="28"/>
          <w:szCs w:val="28"/>
        </w:rPr>
      </w:pPr>
    </w:p>
    <w:p w14:paraId="44C4053D">
      <w:pPr>
        <w:pStyle w:val="style0"/>
        <w:ind w:firstLine="560" w:firstLineChars="200"/>
        <w:rPr>
          <w:rFonts w:ascii="仿宋_GB2312" w:eastAsia="仿宋_GB2312"/>
          <w:sz w:val="32"/>
          <w:szCs w:val="32"/>
        </w:rPr>
      </w:pPr>
      <w:r>
        <w:rPr>
          <w:rFonts w:ascii="仿宋_GB2312" w:eastAsia="仿宋_GB2312" w:hint="eastAsia"/>
          <w:sz w:val="28"/>
          <w:szCs w:val="28"/>
        </w:rPr>
        <w:t>电话：</w:t>
      </w:r>
      <w:r>
        <w:rPr>
          <w:rFonts w:ascii="仿宋_GB2312" w:eastAsia="仿宋_GB2312" w:hint="eastAsia"/>
          <w:sz w:val="28"/>
          <w:szCs w:val="28"/>
          <w:u w:val="single"/>
        </w:rPr>
        <w:t xml:space="preserve">                        </w:t>
      </w:r>
      <w:r>
        <w:rPr>
          <w:rFonts w:ascii="仿宋_GB2312" w:eastAsia="仿宋_GB2312" w:hint="eastAsia"/>
          <w:sz w:val="28"/>
          <w:szCs w:val="28"/>
        </w:rPr>
        <w:t xml:space="preserve"> 日期：</w:t>
      </w:r>
      <w:r>
        <w:rPr>
          <w:rFonts w:ascii="仿宋_GB2312" w:eastAsia="仿宋_GB2312" w:hint="eastAsia"/>
          <w:sz w:val="28"/>
          <w:szCs w:val="28"/>
          <w:u w:val="single"/>
        </w:rPr>
        <w:t xml:space="preserve">                  </w:t>
      </w:r>
      <w:r>
        <w:br w:type="page"/>
      </w:r>
      <w:r>
        <w:rPr>
          <w:rFonts w:ascii="仿宋_GB2312" w:eastAsia="仿宋_GB2312" w:hint="eastAsia"/>
          <w:sz w:val="32"/>
          <w:szCs w:val="32"/>
        </w:rPr>
        <w:t>附件四：</w:t>
      </w:r>
    </w:p>
    <w:p w14:paraId="146FA5ED">
      <w:pPr>
        <w:pStyle w:val="style0"/>
        <w:jc w:val="center"/>
        <w:rPr>
          <w:rFonts w:ascii="华文中宋" w:eastAsia="华文中宋" w:hAnsi="华文中宋" w:hint="eastAsia"/>
          <w:b/>
          <w:sz w:val="44"/>
          <w:szCs w:val="44"/>
        </w:rPr>
      </w:pPr>
      <w:r>
        <w:rPr>
          <w:rFonts w:ascii="华文中宋" w:eastAsia="华文中宋" w:hAnsi="华文中宋" w:hint="eastAsia"/>
          <w:b/>
          <w:sz w:val="44"/>
          <w:szCs w:val="44"/>
        </w:rPr>
        <w:t>竞买人承诺书（公司）</w:t>
      </w:r>
    </w:p>
    <w:p w14:paraId="5FAEFF24">
      <w:pPr>
        <w:pStyle w:val="style0"/>
        <w:rPr>
          <w:rFonts w:ascii="仿宋_GB2312" w:eastAsia="仿宋_GB2312"/>
          <w:sz w:val="32"/>
          <w:szCs w:val="32"/>
        </w:rPr>
      </w:pPr>
    </w:p>
    <w:p w14:paraId="56F7D9FE">
      <w:pPr>
        <w:pStyle w:val="style0"/>
        <w:spacing w:lineRule="exact" w:line="520"/>
        <w:rPr>
          <w:rFonts w:ascii="仿宋_GB2312" w:eastAsia="仿宋_GB2312"/>
          <w:sz w:val="32"/>
          <w:szCs w:val="32"/>
        </w:rPr>
      </w:pPr>
      <w:r>
        <w:rPr>
          <w:rFonts w:ascii="仿宋_GB2312" w:eastAsia="仿宋_GB2312" w:hint="eastAsia"/>
          <w:sz w:val="32"/>
          <w:szCs w:val="32"/>
        </w:rPr>
        <w:t>中信钛业股份有限公司：</w:t>
      </w:r>
    </w:p>
    <w:p w14:paraId="19702D1D">
      <w:pPr>
        <w:pStyle w:val="style0"/>
        <w:ind w:firstLine="640" w:firstLineChars="200"/>
        <w:rPr>
          <w:rFonts w:ascii="仿宋_GB2312" w:eastAsia="仿宋_GB2312"/>
          <w:sz w:val="32"/>
          <w:szCs w:val="32"/>
        </w:rPr>
      </w:pPr>
      <w:r>
        <w:rPr>
          <w:rFonts w:ascii="仿宋_GB2312" w:eastAsia="仿宋_GB2312" w:hint="eastAsia"/>
          <w:sz w:val="32"/>
          <w:szCs w:val="32"/>
        </w:rPr>
        <w:t>我公司全称为</w:t>
      </w:r>
      <w:r>
        <w:rPr>
          <w:rFonts w:ascii="仿宋_GB2312" w:eastAsia="仿宋_GB2312" w:hint="eastAsia"/>
          <w:sz w:val="32"/>
          <w:szCs w:val="32"/>
          <w:u w:val="single"/>
        </w:rPr>
        <w:t xml:space="preserve">                 </w:t>
      </w:r>
      <w:r>
        <w:rPr>
          <w:rFonts w:ascii="仿宋_GB2312" w:eastAsia="仿宋_GB2312" w:hint="eastAsia"/>
          <w:sz w:val="32"/>
          <w:szCs w:val="32"/>
        </w:rPr>
        <w:t>，是依据中华人民共和国法律成立的，注册地址为</w:t>
      </w:r>
      <w:r>
        <w:rPr>
          <w:rFonts w:ascii="仿宋_GB2312" w:eastAsia="仿宋_GB2312" w:hint="eastAsia"/>
          <w:sz w:val="32"/>
          <w:szCs w:val="32"/>
          <w:u w:val="single"/>
        </w:rPr>
        <w:t xml:space="preserve">    </w:t>
      </w:r>
      <w:r>
        <w:rPr>
          <w:rFonts w:ascii="仿宋_GB2312" w:eastAsia="仿宋_GB2312" w:hint="eastAsia"/>
          <w:sz w:val="32"/>
          <w:szCs w:val="32"/>
          <w:u w:val="single"/>
          <w:lang w:val="en-US" w:eastAsia="zh-CN"/>
        </w:rPr>
        <w:t xml:space="preserve">              </w:t>
      </w:r>
      <w:r>
        <w:rPr>
          <w:rFonts w:ascii="仿宋_GB2312" w:eastAsia="仿宋_GB2312" w:hint="eastAsia"/>
          <w:sz w:val="32"/>
          <w:szCs w:val="32"/>
          <w:u w:val="single"/>
        </w:rPr>
        <w:t xml:space="preserve">   </w:t>
      </w:r>
      <w:r>
        <w:rPr>
          <w:rFonts w:ascii="仿宋_GB2312" w:eastAsia="仿宋_GB2312" w:hint="eastAsia"/>
          <w:sz w:val="32"/>
          <w:szCs w:val="32"/>
        </w:rPr>
        <w:t>，法人代表为</w:t>
      </w:r>
      <w:r>
        <w:rPr>
          <w:rFonts w:ascii="仿宋_GB2312" w:eastAsia="仿宋_GB2312" w:hint="eastAsia"/>
          <w:sz w:val="32"/>
          <w:szCs w:val="32"/>
          <w:u w:val="single"/>
        </w:rPr>
        <w:t xml:space="preserve">       </w:t>
      </w:r>
      <w:r>
        <w:rPr>
          <w:rFonts w:ascii="仿宋_GB2312" w:eastAsia="仿宋_GB2312" w:hint="eastAsia"/>
          <w:sz w:val="32"/>
          <w:szCs w:val="32"/>
        </w:rPr>
        <w:t>。我公司对贵公司公布的《废旧物资竞价出售公告》、《废旧物资竞价出售文件》已经知晓，我公司愿意通过贵公司采购平台进行相关业务。我公司在贵公司网上的用户名为</w:t>
      </w:r>
      <w:r>
        <w:rPr>
          <w:rFonts w:ascii="仿宋_GB2312" w:eastAsia="仿宋_GB2312" w:hint="eastAsia"/>
          <w:sz w:val="32"/>
          <w:szCs w:val="32"/>
          <w:u w:val="single"/>
        </w:rPr>
        <w:t xml:space="preserve">     </w:t>
      </w:r>
      <w:r>
        <w:rPr>
          <w:rFonts w:ascii="仿宋_GB2312" w:eastAsia="仿宋_GB2312" w:hint="eastAsia"/>
          <w:sz w:val="32"/>
          <w:szCs w:val="32"/>
          <w:u w:val="single"/>
          <w:lang w:val="en-US" w:eastAsia="zh-CN"/>
        </w:rPr>
        <w:t xml:space="preserve">     </w:t>
      </w:r>
      <w:r>
        <w:rPr>
          <w:rFonts w:ascii="仿宋_GB2312" w:eastAsia="仿宋_GB2312" w:hint="eastAsia"/>
          <w:sz w:val="32"/>
          <w:szCs w:val="32"/>
          <w:u w:val="single"/>
        </w:rPr>
        <w:t xml:space="preserve">       </w:t>
      </w:r>
      <w:r>
        <w:rPr>
          <w:rFonts w:ascii="仿宋_GB2312" w:eastAsia="仿宋_GB2312" w:hint="eastAsia"/>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pStyle w:val="style0"/>
        <w:ind w:firstLine="640" w:firstLineChars="200"/>
        <w:rPr>
          <w:rFonts w:ascii="仿宋_GB2312" w:eastAsia="仿宋_GB2312"/>
          <w:sz w:val="32"/>
          <w:szCs w:val="32"/>
        </w:rPr>
      </w:pPr>
      <w:r>
        <w:rPr>
          <w:rFonts w:ascii="仿宋_GB2312" w:eastAsia="仿宋_GB2312" w:hint="eastAsia"/>
          <w:sz w:val="32"/>
          <w:szCs w:val="32"/>
        </w:rPr>
        <w:t>承诺期限：一年</w:t>
      </w:r>
    </w:p>
    <w:p w14:paraId="0DD2BC75">
      <w:pPr>
        <w:pStyle w:val="style0"/>
        <w:ind w:firstLine="640" w:firstLineChars="200"/>
        <w:rPr>
          <w:rFonts w:ascii="仿宋_GB2312" w:eastAsia="仿宋_GB2312"/>
          <w:sz w:val="32"/>
          <w:szCs w:val="32"/>
        </w:rPr>
      </w:pPr>
      <w:r>
        <w:rPr>
          <w:rFonts w:ascii="仿宋_GB2312" w:eastAsia="仿宋_GB2312" w:hint="eastAsia"/>
          <w:sz w:val="32"/>
          <w:szCs w:val="32"/>
        </w:rPr>
        <w:t>有效期：自签署之日起至202</w:t>
      </w:r>
      <w:r>
        <w:rPr>
          <w:rFonts w:ascii="仿宋_GB2312" w:eastAsia="仿宋_GB2312" w:hint="default"/>
          <w:sz w:val="32"/>
          <w:szCs w:val="32"/>
          <w:lang w:val="en-US"/>
        </w:rPr>
        <w:t>6</w:t>
      </w:r>
      <w:r>
        <w:rPr>
          <w:rFonts w:ascii="仿宋_GB2312" w:eastAsia="仿宋_GB2312" w:hint="eastAsia"/>
          <w:sz w:val="32"/>
          <w:szCs w:val="32"/>
        </w:rPr>
        <w:t>年12月31止。</w:t>
      </w:r>
    </w:p>
    <w:p w14:paraId="2896A706">
      <w:pPr>
        <w:pStyle w:val="style0"/>
        <w:rPr>
          <w:rFonts w:ascii="仿宋_GB2312" w:eastAsia="仿宋_GB2312"/>
          <w:sz w:val="32"/>
          <w:szCs w:val="32"/>
        </w:rPr>
      </w:pPr>
    </w:p>
    <w:p w14:paraId="5948BD9E">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竞买人全称（盖公章）：</w:t>
      </w:r>
      <w:r>
        <w:rPr>
          <w:rFonts w:ascii="仿宋_GB2312" w:eastAsia="仿宋_GB2312" w:hint="eastAsia"/>
          <w:sz w:val="32"/>
          <w:szCs w:val="32"/>
          <w:u w:val="single"/>
        </w:rPr>
        <w:t xml:space="preserve">                            </w:t>
      </w:r>
    </w:p>
    <w:p w14:paraId="1F3C1984">
      <w:pPr>
        <w:pStyle w:val="style0"/>
        <w:spacing w:lineRule="exact" w:line="600"/>
        <w:ind w:firstLine="640" w:firstLineChars="200"/>
        <w:rPr>
          <w:rFonts w:ascii="仿宋_GB2312" w:eastAsia="仿宋_GB2312"/>
          <w:sz w:val="32"/>
          <w:szCs w:val="32"/>
        </w:rPr>
      </w:pPr>
      <w:r>
        <w:rPr>
          <w:rFonts w:ascii="仿宋_GB2312" w:eastAsia="仿宋_GB2312" w:hint="eastAsia"/>
          <w:sz w:val="32"/>
          <w:szCs w:val="32"/>
        </w:rPr>
        <w:t>法定代表人或委托代理人（盖章或签字）：</w:t>
      </w:r>
      <w:r>
        <w:rPr>
          <w:rFonts w:ascii="仿宋_GB2312" w:eastAsia="仿宋_GB2312" w:hint="eastAsia"/>
          <w:sz w:val="32"/>
          <w:szCs w:val="32"/>
          <w:u w:val="single"/>
        </w:rPr>
        <w:t xml:space="preserve">            </w:t>
      </w:r>
    </w:p>
    <w:p w14:paraId="4D8322AB">
      <w:pPr>
        <w:pStyle w:val="style0"/>
        <w:spacing w:lineRule="exact" w:line="600"/>
        <w:ind w:firstLine="640" w:firstLineChars="200"/>
        <w:rPr>
          <w:rFonts w:ascii="仿宋_GB2312" w:eastAsia="仿宋_GB2312"/>
          <w:sz w:val="32"/>
          <w:szCs w:val="32"/>
          <w:u w:val="single"/>
        </w:rPr>
      </w:pPr>
      <w:r>
        <w:rPr>
          <w:rFonts w:ascii="仿宋_GB2312" w:eastAsia="仿宋_GB2312" w:hint="eastAsia"/>
          <w:sz w:val="32"/>
          <w:szCs w:val="32"/>
        </w:rPr>
        <w:t>日     期：</w:t>
      </w:r>
      <w:r>
        <w:rPr>
          <w:rFonts w:ascii="仿宋_GB2312" w:eastAsia="仿宋_GB2312" w:hint="eastAsia"/>
          <w:sz w:val="32"/>
          <w:szCs w:val="32"/>
          <w:u w:val="single"/>
        </w:rPr>
        <w:t xml:space="preserve">                 </w:t>
      </w:r>
    </w:p>
    <w:p w14:paraId="13ECA141">
      <w:pPr>
        <w:pStyle w:val="style0"/>
        <w:jc w:val="center"/>
        <w:rPr>
          <w:rFonts w:ascii="华文中宋" w:eastAsia="华文中宋" w:hAnsi="华文中宋" w:hint="eastAsia"/>
          <w:b/>
          <w:sz w:val="44"/>
          <w:szCs w:val="44"/>
        </w:rPr>
      </w:pPr>
      <w:r>
        <w:br w:type="page"/>
      </w:r>
      <w:r>
        <w:rPr>
          <w:rFonts w:ascii="华文中宋" w:eastAsia="华文中宋" w:hAnsi="华文中宋" w:hint="eastAsia"/>
          <w:b/>
          <w:sz w:val="44"/>
          <w:szCs w:val="44"/>
        </w:rPr>
        <w:t>竞买人承诺书（个人）</w:t>
      </w:r>
    </w:p>
    <w:p w14:paraId="60E44AFF">
      <w:pPr>
        <w:pStyle w:val="style0"/>
        <w:rPr>
          <w:rFonts w:ascii="仿宋_GB2312" w:eastAsia="仿宋_GB2312"/>
          <w:sz w:val="32"/>
          <w:szCs w:val="32"/>
        </w:rPr>
      </w:pPr>
    </w:p>
    <w:p w14:paraId="3340F896">
      <w:pPr>
        <w:pStyle w:val="style0"/>
        <w:spacing w:lineRule="exact" w:line="520"/>
        <w:rPr>
          <w:rFonts w:ascii="仿宋_GB2312" w:eastAsia="仿宋_GB2312"/>
          <w:sz w:val="32"/>
          <w:szCs w:val="32"/>
        </w:rPr>
      </w:pPr>
      <w:r>
        <w:rPr>
          <w:rFonts w:ascii="仿宋_GB2312" w:eastAsia="仿宋_GB2312" w:hint="eastAsia"/>
          <w:sz w:val="32"/>
          <w:szCs w:val="32"/>
        </w:rPr>
        <w:t>中信钛业股份有限公司：</w:t>
      </w:r>
    </w:p>
    <w:p w14:paraId="603F4DD2">
      <w:pPr>
        <w:pStyle w:val="style0"/>
        <w:ind w:firstLine="640" w:firstLineChars="200"/>
        <w:rPr>
          <w:rFonts w:ascii="仿宋_GB2312" w:eastAsia="仿宋_GB2312"/>
          <w:sz w:val="32"/>
          <w:szCs w:val="32"/>
        </w:rPr>
      </w:pPr>
      <w:r>
        <w:rPr>
          <w:rFonts w:ascii="仿宋_GB2312" w:eastAsia="仿宋_GB2312" w:hint="eastAsia"/>
          <w:sz w:val="32"/>
          <w:szCs w:val="32"/>
        </w:rPr>
        <w:t>本人对贵公司公布的《废旧物资竞价出售公告》、《废旧物资竞价出售文件》已经知晓，本人愿意通过贵公司采购平台进行相关业务。本人在贵公司网上的用户名为</w:t>
      </w:r>
      <w:r>
        <w:rPr>
          <w:rFonts w:ascii="仿宋_GB2312" w:eastAsia="仿宋_GB2312" w:hint="eastAsia"/>
          <w:sz w:val="32"/>
          <w:szCs w:val="32"/>
          <w:u w:val="single"/>
        </w:rPr>
        <w:t xml:space="preserve">            </w:t>
      </w:r>
      <w:r>
        <w:rPr>
          <w:rFonts w:ascii="仿宋_GB2312" w:eastAsia="仿宋_GB2312" w:hint="eastAsia"/>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pStyle w:val="style0"/>
        <w:ind w:firstLine="640" w:firstLineChars="200"/>
        <w:rPr>
          <w:rFonts w:ascii="仿宋_GB2312" w:eastAsia="仿宋_GB2312"/>
          <w:sz w:val="32"/>
          <w:szCs w:val="32"/>
        </w:rPr>
      </w:pPr>
      <w:r>
        <w:rPr>
          <w:rFonts w:ascii="仿宋_GB2312" w:eastAsia="仿宋_GB2312" w:hint="eastAsia"/>
          <w:sz w:val="32"/>
          <w:szCs w:val="32"/>
        </w:rPr>
        <w:t>承诺期限：一年</w:t>
      </w:r>
    </w:p>
    <w:p w14:paraId="3F5B7E8A">
      <w:pPr>
        <w:pStyle w:val="style0"/>
        <w:ind w:firstLine="640" w:firstLineChars="200"/>
        <w:rPr>
          <w:rFonts w:ascii="仿宋_GB2312" w:eastAsia="仿宋_GB2312"/>
          <w:sz w:val="32"/>
          <w:szCs w:val="32"/>
        </w:rPr>
      </w:pPr>
      <w:r>
        <w:rPr>
          <w:rFonts w:ascii="仿宋_GB2312" w:eastAsia="仿宋_GB2312" w:hint="eastAsia"/>
          <w:sz w:val="32"/>
          <w:szCs w:val="32"/>
        </w:rPr>
        <w:t>有效期：自签署之日起至202</w:t>
      </w:r>
      <w:r>
        <w:rPr>
          <w:rFonts w:ascii="仿宋_GB2312" w:eastAsia="仿宋_GB2312" w:hint="default"/>
          <w:sz w:val="32"/>
          <w:szCs w:val="32"/>
          <w:lang w:val="en-US"/>
        </w:rPr>
        <w:t>6</w:t>
      </w:r>
      <w:r>
        <w:rPr>
          <w:rFonts w:ascii="仿宋_GB2312" w:eastAsia="仿宋_GB2312" w:hint="eastAsia"/>
          <w:sz w:val="32"/>
          <w:szCs w:val="32"/>
        </w:rPr>
        <w:t>年12月31止。</w:t>
      </w:r>
    </w:p>
    <w:p w14:paraId="047D906C">
      <w:pPr>
        <w:pStyle w:val="style0"/>
        <w:rPr>
          <w:rFonts w:ascii="仿宋_GB2312" w:eastAsia="仿宋_GB2312"/>
          <w:sz w:val="32"/>
          <w:szCs w:val="32"/>
        </w:rPr>
      </w:pPr>
    </w:p>
    <w:p w14:paraId="519214B0">
      <w:pPr>
        <w:pStyle w:val="style0"/>
        <w:spacing w:lineRule="exact" w:line="600"/>
        <w:ind w:firstLine="550"/>
        <w:rPr>
          <w:rFonts w:ascii="仿宋_GB2312" w:eastAsia="仿宋_GB2312"/>
          <w:sz w:val="32"/>
          <w:szCs w:val="32"/>
        </w:rPr>
      </w:pPr>
      <w:r>
        <w:rPr>
          <w:rFonts w:ascii="仿宋_GB2312" w:eastAsia="仿宋_GB2312" w:hint="eastAsia"/>
          <w:sz w:val="32"/>
          <w:szCs w:val="32"/>
        </w:rPr>
        <w:t>竞买人全称（盖公章）：</w:t>
      </w:r>
      <w:r>
        <w:rPr>
          <w:rFonts w:ascii="仿宋_GB2312" w:eastAsia="仿宋_GB2312" w:hint="eastAsia"/>
          <w:sz w:val="32"/>
          <w:szCs w:val="32"/>
          <w:u w:val="single"/>
        </w:rPr>
        <w:t xml:space="preserve">                            </w:t>
      </w:r>
    </w:p>
    <w:p w14:paraId="706F0059">
      <w:pPr>
        <w:pStyle w:val="style0"/>
        <w:spacing w:lineRule="exact" w:line="600"/>
        <w:ind w:firstLine="550"/>
        <w:rPr>
          <w:rFonts w:ascii="仿宋_GB2312" w:eastAsia="仿宋_GB2312"/>
          <w:sz w:val="32"/>
          <w:szCs w:val="32"/>
        </w:rPr>
      </w:pPr>
      <w:r>
        <w:rPr>
          <w:rFonts w:ascii="仿宋_GB2312" w:eastAsia="仿宋_GB2312" w:hint="eastAsia"/>
          <w:sz w:val="32"/>
          <w:szCs w:val="32"/>
        </w:rPr>
        <w:t>法定代表人或委托代理人（盖章或签字）：</w:t>
      </w:r>
      <w:r>
        <w:rPr>
          <w:rFonts w:ascii="仿宋_GB2312" w:eastAsia="仿宋_GB2312" w:hint="eastAsia"/>
          <w:sz w:val="32"/>
          <w:szCs w:val="32"/>
          <w:u w:val="single"/>
        </w:rPr>
        <w:t xml:space="preserve">            </w:t>
      </w:r>
    </w:p>
    <w:p w14:paraId="70075AC0">
      <w:pPr>
        <w:pStyle w:val="style0"/>
        <w:spacing w:lineRule="exact" w:line="600"/>
        <w:ind w:firstLine="550"/>
        <w:rPr>
          <w:rFonts w:ascii="仿宋_GB2312" w:eastAsia="仿宋_GB2312"/>
          <w:sz w:val="32"/>
          <w:szCs w:val="32"/>
          <w:u w:val="single"/>
        </w:rPr>
      </w:pPr>
      <w:r>
        <w:rPr>
          <w:rFonts w:ascii="仿宋_GB2312" w:eastAsia="仿宋_GB2312" w:hint="eastAsia"/>
          <w:sz w:val="32"/>
          <w:szCs w:val="32"/>
        </w:rPr>
        <w:t>日     期：</w:t>
      </w:r>
      <w:r>
        <w:rPr>
          <w:rFonts w:ascii="仿宋_GB2312" w:eastAsia="仿宋_GB2312" w:hint="eastAsia"/>
          <w:sz w:val="32"/>
          <w:szCs w:val="32"/>
          <w:u w:val="single"/>
        </w:rPr>
        <w:t xml:space="preserve">                 </w:t>
      </w:r>
    </w:p>
    <w:p w14:paraId="14944BDF">
      <w:pPr>
        <w:pStyle w:val="style0"/>
        <w:rPr>
          <w:rFonts w:ascii="맑은 고딕" w:eastAsia="맑은 고딕" w:hAnsi="맑은 고딕" w:hint="eastAsia"/>
          <w:b/>
          <w:sz w:val="36"/>
          <w:szCs w:val="36"/>
        </w:rPr>
      </w:pPr>
      <w:r>
        <w:br w:type="page"/>
      </w:r>
      <w:r>
        <w:rPr>
          <w:rFonts w:ascii="맑은 고딕" w:eastAsia="맑은 고딕" w:hAnsi="맑은 고딕" w:hint="eastAsia"/>
          <w:b/>
          <w:bCs w:val="false"/>
          <w:sz w:val="36"/>
          <w:szCs w:val="36"/>
        </w:rPr>
        <w:t>附：网上竞价办法请与</w:t>
      </w:r>
      <w:r>
        <w:rPr>
          <w:rFonts w:ascii="맑은 고딕" w:eastAsia="맑은 고딕" w:hAnsi="맑은 고딕" w:hint="eastAsia"/>
          <w:b/>
          <w:bCs w:val="false"/>
          <w:sz w:val="36"/>
          <w:szCs w:val="36"/>
          <w:lang w:val="en-US" w:eastAsia="zh-CN"/>
        </w:rPr>
        <w:t>工作</w:t>
      </w:r>
      <w:r>
        <w:rPr>
          <w:rFonts w:ascii="맑은 고딕" w:eastAsia="맑은 고딕" w:hAnsi="맑은 고딕" w:hint="eastAsia"/>
          <w:b/>
          <w:bCs w:val="false"/>
          <w:sz w:val="36"/>
          <w:szCs w:val="36"/>
        </w:rPr>
        <w:t>人员联系获取</w:t>
      </w:r>
    </w:p>
    <w:sectPr>
      <w:headerReference w:type="default" r:id="rId2"/>
      <w:footerReference w:type="default" r:id="rId3"/>
      <w:pgSz w:w="11907" w:h="16840" w:orient="portrait"/>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34"/>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Malgun Gothic">
    <w:altName w:val="Malgun Gothic"/>
    <w:panose1 w:val="020b0503020000020004"/>
    <w:charset w:val="81"/>
    <w:family w:val="auto"/>
    <w:pitch w:val="default"/>
    <w:sig w:usb0="9000002F" w:usb1="29D77CFB" w:usb2="00000012" w:usb3="00000000" w:csb0="00080001" w:csb1="00000000"/>
  </w:font>
  <w:font w:name="楷体_GB2312">
    <w:altName w:val="楷体_GB2312"/>
    <w:panose1 w:val="02010609030000010101"/>
    <w:charset w:val="34"/>
    <w:family w:val="modern"/>
    <w:pitch w:val="default"/>
    <w:sig w:usb0="00000001" w:usb1="080E0000" w:usb2="00000000" w:usb3="00000000" w:csb0="00040000" w:csb1="00000000"/>
  </w:font>
  <w:font w:name="方正小标宋简体">
    <w:altName w:val="方正小标宋简体"/>
    <w:panose1 w:val="02010601030000010101"/>
    <w:charset w:val="34"/>
    <w:family w:val="auto"/>
    <w:pitch w:val="default"/>
    <w:sig w:usb0="00000001" w:usb1="080E0000" w:usb2="00000000" w:usb3="00000000" w:csb0="00040000" w:csb1="00000000"/>
  </w:font>
  <w:font w:name="华文中宋">
    <w:altName w:val="华文中宋"/>
    <w:panose1 w:val="02010600040000010101"/>
    <w:charset w:val="34"/>
    <w:family w:val="auto"/>
    <w:pitch w:val="default"/>
    <w:sig w:usb0="00000287" w:usb1="080F0000" w:usb2="00000000" w:usb3="00000000" w:csb0="0004009F" w:csb1="DFD70000"/>
  </w:font>
  <w:font w:name="仿宋_GB2312">
    <w:altName w:val="仿宋_GB2312"/>
    <w:panose1 w:val="02010609030000010101"/>
    <w:charset w:val="34"/>
    <w:family w:val="modern"/>
    <w:pitch w:val="default"/>
    <w:sig w:usb0="00000001" w:usb1="080E0000" w:usb2="00000000" w:usb3="00000000" w:csb0="00040000" w:csb1="00000000"/>
  </w:font>
  <w:font w:name="맑은 고딕">
    <w:altName w:val="맑은 고딕"/>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08DDA61">
    <w:pPr>
      <w:pStyle w:val="style32"/>
      <w:rPr/>
    </w:pPr>
    <w:r>
      <w:rPr>
        <w:sz w:val="20"/>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375B7214">
                          <w:pPr>
                            <w:pStyle w:val="style32"/>
                            <w:rPr/>
                          </w:pPr>
                          <w:r>
                            <w:rPr>
                              <w:rFonts w:ascii="Times New Roman" w:cs="Times New Roman" w:eastAsia="宋体" w:hAnsi="Times New Roman"/>
                              <w:sz w:val="21"/>
                              <w:szCs w:val="21"/>
                              <w:lang w:val="en-US" w:bidi="ar-SA" w:eastAsia="zh-CN"/>
                            </w:rPr>
                            <w:fldChar w:fldCharType="begin"/>
                          </w:r>
                          <w:r>
                            <w:rPr>
                              <w:rFonts w:hint="eastAsia"/>
                            </w:rPr>
                            <w:instrText>PAGE  \* MERGEFORMAT</w:instrText>
                          </w:r>
                          <w:r>
                            <w:rPr/>
                            <w:fldChar w:fldCharType="separate"/>
                          </w:r>
                          <w:r>
                            <w:t>2</w:t>
                          </w:r>
                          <w:r>
                            <w:rPr>
                              <w:rFonts w:ascii="Times New Roman" w:cs="Times New Roman" w:eastAsia="宋体" w:hAnsi="Times New Roman"/>
                              <w:sz w:val="21"/>
                              <w:szCs w:val="21"/>
                              <w:lang w:val="en-US" w:bidi="ar-SA" w:eastAsia="zh-CN"/>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375B7214">
                    <w:pPr>
                      <w:pStyle w:val="style32"/>
                      <w:rPr/>
                    </w:pPr>
                    <w:r>
                      <w:rPr>
                        <w:rFonts w:ascii="Times New Roman" w:cs="Times New Roman" w:eastAsia="宋体" w:hAnsi="Times New Roman"/>
                        <w:sz w:val="21"/>
                        <w:szCs w:val="21"/>
                        <w:lang w:val="en-US" w:bidi="ar-SA" w:eastAsia="zh-CN"/>
                      </w:rPr>
                      <w:fldChar w:fldCharType="begin"/>
                    </w:r>
                    <w:r>
                      <w:rPr>
                        <w:rFonts w:hint="eastAsia"/>
                      </w:rPr>
                      <w:instrText>PAGE  \* MERGEFORMAT</w:instrText>
                    </w:r>
                    <w:r>
                      <w:rPr/>
                      <w:fldChar w:fldCharType="separate"/>
                    </w:r>
                    <w:r>
                      <w:t>2</w:t>
                    </w:r>
                    <w:r>
                      <w:rPr>
                        <w:rFonts w:ascii="Times New Roman" w:cs="Times New Roman" w:eastAsia="宋体" w:hAnsi="Times New Roman"/>
                        <w:sz w:val="21"/>
                        <w:szCs w:val="21"/>
                        <w:lang w:val="en-US" w:bidi="ar-SA" w:eastAsia="zh-CN"/>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1CF4405">
    <w:pPr>
      <w:pStyle w:val="style31"/>
      <w:pBdr>
        <w:bottom w:val="none" w:sz="0" w:space="0" w:color="000000"/>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맑은 고딕" w:hAnsi="Calibri"/>
      </w:rPr>
    </w:rPrDefault>
    <w:pPrDefault>
      <w:pPr/>
    </w:pPrDefault>
  </w:docDefaults>
  <w:style w:type="paragraph" w:default="1" w:styleId="style0">
    <w:name w:val="Normal"/>
    <w:next w:val="style0"/>
    <w:qFormat/>
    <w:uiPriority w:val="1"/>
    <w:pPr>
      <w:jc w:val="both"/>
    </w:pPr>
    <w:rPr>
      <w:rFonts w:ascii="Times New Roman" w:cs="Times New Roman" w:eastAsia="宋体" w:hAnsi="Times New Roman"/>
      <w:sz w:val="21"/>
      <w:szCs w:val="21"/>
      <w:lang w:val="en-US" w:bidi="ar-SA" w:eastAsia="zh-CN"/>
    </w:rPr>
  </w:style>
  <w:style w:type="paragraph" w:styleId="style1">
    <w:name w:val="heading 1"/>
    <w:basedOn w:val="style0"/>
    <w:next w:val="style0"/>
    <w:link w:val="style4102"/>
    <w:qFormat/>
    <w:uiPriority w:val="7"/>
    <w:pPr>
      <w:autoSpaceDE w:val="false"/>
      <w:autoSpaceDN w:val="false"/>
      <w:spacing w:before="1"/>
      <w:ind w:left="120" w:firstLine="0"/>
      <w:jc w:val="left"/>
      <w:outlineLvl w:val="0"/>
    </w:pPr>
    <w:rPr>
      <w:rFonts w:ascii="黑体" w:cs="黑体" w:eastAsia="黑体" w:hAnsi="黑体"/>
      <w:b/>
      <w:sz w:val="28"/>
      <w:szCs w:val="28"/>
      <w:lang w:val="zh-CN" w:bidi="zh-CN"/>
    </w:rPr>
  </w:style>
  <w:style w:type="paragraph" w:styleId="style3">
    <w:name w:val="heading 3"/>
    <w:basedOn w:val="style0"/>
    <w:next w:val="style0"/>
    <w:link w:val="style4103"/>
    <w:qFormat/>
    <w:uiPriority w:val="9"/>
    <w:pPr>
      <w:autoSpaceDE w:val="false"/>
      <w:autoSpaceDN w:val="false"/>
      <w:spacing w:before="260" w:after="260" w:lineRule="auto" w:line="412"/>
      <w:jc w:val="left"/>
      <w:outlineLvl w:val="2"/>
    </w:pPr>
    <w:rPr>
      <w:rFonts w:ascii="宋体" w:cs="宋体" w:hAnsi="宋体"/>
      <w:b/>
      <w:sz w:val="32"/>
      <w:szCs w:val="32"/>
      <w:lang w:val="zh-CN" w:bidi="zh-CN"/>
    </w:rPr>
  </w:style>
  <w:style w:type="character" w:default="1" w:styleId="style65">
    <w:name w:val="Default Paragraph Font"/>
    <w:next w:val="style65"/>
    <w:qFormat/>
    <w:uiPriority w:val="2"/>
  </w:style>
  <w:style w:type="table" w:default="1" w:styleId="style105">
    <w:name w:val="Normal Table"/>
    <w:next w:val="style105"/>
    <w:qFormat/>
    <w:uiPriority w:val="3"/>
    <w:pPr/>
    <w:rPr/>
    <w:tblPr>
      <w:tblCellMar>
        <w:top w:w="0" w:type="dxa"/>
        <w:left w:w="108" w:type="dxa"/>
        <w:bottom w:w="0" w:type="dxa"/>
        <w:right w:w="108" w:type="dxa"/>
      </w:tblCellMar>
    </w:tblPr>
    <w:tcPr>
      <w:tcBorders/>
    </w:tcPr>
  </w:style>
  <w:style w:type="paragraph" w:styleId="style66">
    <w:name w:val="Body Text"/>
    <w:basedOn w:val="style0"/>
    <w:next w:val="style66"/>
    <w:link w:val="style4101"/>
    <w:qFormat/>
    <w:uiPriority w:val="151"/>
    <w:pPr>
      <w:spacing w:after="120"/>
    </w:pPr>
    <w:rPr/>
  </w:style>
  <w:style w:type="paragraph" w:styleId="style67">
    <w:name w:val="Body Text Indent"/>
    <w:basedOn w:val="style0"/>
    <w:next w:val="style67"/>
    <w:link w:val="style4098"/>
    <w:qFormat/>
    <w:uiPriority w:val="152"/>
    <w:pPr>
      <w:spacing w:after="120"/>
      <w:ind w:left="420" w:leftChars="420" w:firstLine="0"/>
    </w:pPr>
    <w:rPr/>
  </w:style>
  <w:style w:type="paragraph" w:styleId="style82">
    <w:name w:val="Body Text Indent 2"/>
    <w:basedOn w:val="style0"/>
    <w:next w:val="style82"/>
    <w:link w:val="style4097"/>
    <w:qFormat/>
    <w:uiPriority w:val="153"/>
    <w:pPr>
      <w:ind w:firstLine="560"/>
      <w:jc w:val="left"/>
    </w:pPr>
    <w:rPr>
      <w:rFonts w:ascii="楷体_GB2312" w:eastAsia="楷体_GB2312" w:hint="eastAsia"/>
      <w:sz w:val="28"/>
      <w:szCs w:val="28"/>
    </w:rPr>
  </w:style>
  <w:style w:type="paragraph" w:styleId="style32">
    <w:name w:val="footer"/>
    <w:basedOn w:val="style0"/>
    <w:next w:val="style32"/>
    <w:link w:val="style4100"/>
    <w:qFormat/>
    <w:uiPriority w:val="154"/>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155"/>
    <w:pPr>
      <w:pBdr>
        <w:bottom w:val="single" w:sz="6" w:space="1" w:color="000000"/>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37"/>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正文文本缩进 2 字符"/>
    <w:basedOn w:val="style65"/>
    <w:next w:val="style4097"/>
    <w:link w:val="style82"/>
    <w:qFormat/>
    <w:uiPriority w:val="156"/>
    <w:rPr>
      <w:rFonts w:ascii="楷体_GB2312" w:cs="Times New Roman" w:eastAsia="楷体_GB2312" w:hAnsi="Times New Roman"/>
      <w:sz w:val="28"/>
      <w:szCs w:val="28"/>
    </w:rPr>
  </w:style>
  <w:style w:type="character" w:customStyle="1" w:styleId="style4098">
    <w:name w:val="正文文本缩进 字符"/>
    <w:basedOn w:val="style65"/>
    <w:next w:val="style4098"/>
    <w:link w:val="style67"/>
    <w:qFormat/>
    <w:uiPriority w:val="157"/>
    <w:rPr>
      <w:rFonts w:ascii="Times New Roman" w:cs="Times New Roman" w:eastAsia="宋体" w:hAnsi="Times New Roman"/>
    </w:rPr>
  </w:style>
  <w:style w:type="character" w:customStyle="1" w:styleId="style4099">
    <w:name w:val="页眉 字符"/>
    <w:basedOn w:val="style65"/>
    <w:next w:val="style4099"/>
    <w:link w:val="style31"/>
    <w:qFormat/>
    <w:uiPriority w:val="158"/>
    <w:rPr>
      <w:rFonts w:ascii="Times New Roman" w:cs="Times New Roman" w:eastAsia="宋体" w:hAnsi="Times New Roman"/>
      <w:sz w:val="18"/>
      <w:szCs w:val="18"/>
    </w:rPr>
  </w:style>
  <w:style w:type="character" w:customStyle="1" w:styleId="style4100">
    <w:name w:val="页脚 字符"/>
    <w:basedOn w:val="style65"/>
    <w:next w:val="style4100"/>
    <w:link w:val="style32"/>
    <w:qFormat/>
    <w:uiPriority w:val="159"/>
    <w:rPr>
      <w:rFonts w:ascii="Times New Roman" w:cs="Times New Roman" w:eastAsia="宋体" w:hAnsi="Times New Roman"/>
      <w:sz w:val="18"/>
      <w:szCs w:val="18"/>
    </w:rPr>
  </w:style>
  <w:style w:type="character" w:customStyle="1" w:styleId="style4101">
    <w:name w:val="正文文本 字符"/>
    <w:basedOn w:val="style65"/>
    <w:next w:val="style4101"/>
    <w:link w:val="style66"/>
    <w:qFormat/>
    <w:uiPriority w:val="160"/>
    <w:rPr>
      <w:rFonts w:ascii="Times New Roman" w:cs="Times New Roman" w:eastAsia="宋体" w:hAnsi="Times New Roman"/>
    </w:rPr>
  </w:style>
  <w:style w:type="character" w:customStyle="1" w:styleId="style4102">
    <w:name w:val="标题 1 字符"/>
    <w:basedOn w:val="style65"/>
    <w:next w:val="style4102"/>
    <w:link w:val="style1"/>
    <w:qFormat/>
    <w:uiPriority w:val="161"/>
    <w:rPr>
      <w:rFonts w:ascii="黑体" w:cs="黑体" w:eastAsia="黑体" w:hAnsi="黑体"/>
      <w:b/>
      <w:sz w:val="28"/>
      <w:szCs w:val="28"/>
      <w:lang w:val="zh-CN" w:bidi="zh-CN"/>
    </w:rPr>
  </w:style>
  <w:style w:type="character" w:customStyle="1" w:styleId="style4103">
    <w:name w:val="标题 3 字符"/>
    <w:basedOn w:val="style65"/>
    <w:next w:val="style4103"/>
    <w:link w:val="style3"/>
    <w:qFormat/>
    <w:uiPriority w:val="162"/>
    <w:rPr>
      <w:rFonts w:ascii="宋体" w:cs="宋体" w:eastAsia="宋体" w:hAnsi="宋体"/>
      <w:b/>
      <w:sz w:val="32"/>
      <w:szCs w:val="32"/>
      <w:lang w:val="zh-CN" w:bidi="zh-CN"/>
    </w:rPr>
  </w:style>
  <w:style w:type="paragraph" w:customStyle="1" w:styleId="style4104">
    <w:name w:val="Table Paragraph"/>
    <w:basedOn w:val="style0"/>
    <w:next w:val="style4104"/>
    <w:qFormat/>
    <w:uiPriority w:val="163"/>
    <w:pPr>
      <w:autoSpaceDE w:val="false"/>
      <w:autoSpaceDN w:val="false"/>
      <w:spacing w:before="36"/>
      <w:ind w:left="106" w:firstLine="0"/>
      <w:jc w:val="left"/>
    </w:pPr>
    <w:rPr>
      <w:rFonts w:ascii="宋体" w:cs="宋体" w:hAnsi="宋体"/>
      <w:sz w:val="22"/>
      <w:szCs w:val="22"/>
      <w:lang w:val="zh-CN" w:bidi="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Words>3747</Words>
  <Pages>11</Pages>
  <Characters>3832</Characters>
  <Application>WPS Office</Application>
  <DocSecurity>0</DocSecurity>
  <Paragraphs>156</Paragraphs>
  <ScaleCrop>false</ScaleCrop>
  <Company>企业管理部信息化管理科</Company>
  <LinksUpToDate>false</LinksUpToDate>
  <CharactersWithSpaces>4538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2025-10-13T08:08:00Z</dcterms:created>
  <dc:creator>王立伟</dc:creator>
  <lastModifiedBy>RMX2117</lastModifiedBy>
  <dcterms:modified xsi:type="dcterms:W3CDTF">2026-02-24T02:17:51Z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eyJoZGlkIjoiYTA3MzNmMGY4NWU3YzI1Mzk1Njg5NGJlYjZjNmRiZjcifQ==</vt:lpwstr>
  </property>
  <property fmtid="{D5CDD505-2E9C-101B-9397-08002B2CF9AE}" pid="3" name="KSOProductBuildVer">
    <vt:lpwstr>2052-12.1.0.23125</vt:lpwstr>
  </property>
  <property fmtid="{D5CDD505-2E9C-101B-9397-08002B2CF9AE}" pid="4" name="ICV">
    <vt:lpwstr>e23b375635de4e40b112ba0c24a455e3_23</vt:lpwstr>
  </property>
</Properties>
</file>